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https://www.autoritedelaconcurrence.fr/fr/decision-de-controle-des-concentrations/relative-la-prise-de-controle-conjoint-par-m-et-mme-zouari</w:t>
      </w:r>
    </w:p>
    <w:p>
      <w:r>
        <w:t>Pages translated : 6</w:t>
      </w:r>
    </w:p>
    <w:p/>
    <w:p>
      <w:r>
        <w:rPr>
          <w:b/>
        </w:rPr>
        <w:t>[Pages 1–3]</w:t>
      </w:r>
    </w:p>
    <w:p>
      <w:r>
        <w:t xml:space="preserve">FRENCH REPUBLIC  </w:t>
        <w:br/>
        <w:t xml:space="preserve">Decision No. 16-DCC-73 of May 20, 2016  </w:t>
        <w:br/>
        <w:t>regarding the joint control by Mr. and Mrs. Zouari alongside the Casino group of 119 retail stores with a predominant food focus</w:t>
      </w:r>
    </w:p>
    <w:p>
      <w:r>
        <w:t xml:space="preserve">The Competition Authority,  </w:t>
        <w:br/>
        <w:t xml:space="preserve">Having regard to the notification file submitted in full to the merger service on April 13, 2016, regarding the joint control by Mr. and Mrs. Zouari of 119 retail stores with a predominant food focus, formalized by a Termsheet dated March 29,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The company Franprix Leader Price Holding (hereinafter "FPLPH") is a subsidiary of the Casino Guichard Perrachon group whose main purpose is to acquire stakes in companies operating stores under the Franprix and Leader Price brands. The Casino group, a French player in food distribution, manages a network of over 12,000 stores (hypermarkets, supermarkets, convenience stores, discount stores) under brands including Franprix, Géant Casino, Casino Supermarché, Petit Casino, Spar, Vival, Monoprix, and Leader Price. It is also present in the online distribution sector of non-food products under the Cdiscount brand. The Casino group is controlled by the company Euris, which is itself controlled by Mr. Jean-Charles Naouri.  </w:t>
        <w:br/>
        <w:t xml:space="preserve">2. The Zouari family exclusively or jointly controls several companies operating together several dozen retail businesses with a predominant food focus under the Monop’, Franprix, and Leader Price brands.  </w:t>
        <w:br/>
        <w:t>3. The company Holdingmag 2 is active in the food distribution sector through 71 stores that it operates under the Leader Price, Franprix, and Panier des Gourmets brands.</w:t>
      </w:r>
    </w:p>
    <w:p>
      <w:r>
        <w:t xml:space="preserve">Holdingmag 2 is jointly controlled by FPLPH and Mr. and Mrs. Zouari, who hold […]% and […]% of its capital, respectively.  </w:t>
        <w:br/>
        <w:t xml:space="preserve">4. The targets of the operation are 119 retail stores with a predominant food focus operated under the Franprix or Leader Price brands, with a surface area between 280 and 1,300 m², and currently exclusively controlled by the Casino group.  </w:t>
        <w:br/>
        <w:t xml:space="preserve">5. Under the terms of the agreement concluded between FPLPH and Mr. and Mrs. Zouari on March 29, 2016, the company Holdingmag 2 will acquire the companies operating the aforementioned 119 stores. As it results in the joint control of the 119 target stores by Mr. and Mrs. Zouari and FPLPH, the notified operation constitutes a concentration within the meaning of Article L. 430-1 of the Commercial Code.  </w:t>
        <w:br/>
        <w:t>6. The companies concerned operate several retail stores and together achieve a total worldwide turnover of more than 75 million euros (Casino: 46.15 billion euros for the fiscal year ending December 31, 2015; Mr. and Mrs. Zouari: […] euros in turnover for the fiscal year ending December 31, 2015). The companies concerned achieve in France in the retail sector a turnover exceeding 15 million euros (Casino: 18.9 billion euros for the fiscal year ending December 31, 2015; Mr. and Mrs. Zouari: […] euros in turnover for the fiscal year ending December 31, 2015). Given the turnover achieved by the companies concerned, the operation does not fall under the jurisdiction of the European Union. However, the control thresholds related to retail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7. According to the consistent practice of national and European competition authorities, two categories of markets can be delineated in the food distribution sector: on the one hand, the downstream markets, of local dimension, which bring together retail businesses and consumers for the sale of consumer goods, and on the other hand, the upstream supply markets where businesses as buyers interact with product manufacturers, of national dimension.</w:t>
      </w:r>
    </w:p>
    <w:p>
      <w:r>
        <w:t xml:space="preserve">A. UPSTREAM SUPPLY MARKETS  </w:t>
        <w:br/>
        <w:t xml:space="preserve">8. Regarding the supply markets, the European Commission has identified the existence of markets of national dimension by major product groups, a delineation followed by national authorities.  </w:t>
        <w:br/>
        <w:t>9. There is no reason to challenge this delineation in the context of the present operation.</w:t>
      </w:r>
    </w:p>
    <w:p>
      <w:r>
        <w:t xml:space="preserve">B. DOWNSTREAM DISTRIBUTION MARKETS  </w:t>
        <w:br/>
        <w:t xml:space="preserve">1. SERVICE MARKETS  </w:t>
        <w:br/>
        <w:t xml:space="preserve">10.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(with a legal sales area exceeding 2,500 m²), (ii) supermarkets (food-dominant stores with a sales area of less than 2,500 m² and more than 400 m²), (iii) specialized commerce, (iv) small retail businesses (less than 400 m²), (v) maxi discount stores, (vi) mail order sales.  </w:t>
        <w:br/>
        <w:t xml:space="preserve">11. Within small retail businesses, there are distinguished small self-service stores that offer a narrow assortment of everyday products (with a surface area of less than 120 m²) and convenience stores whose product offering is somewhat broader (with a surface area between 120 and 400 m²).  </w:t>
        <w:br/>
        <w:t xml:space="preserve">12. Competition authorities consider that, while each category of store retains its specificity, there is an asymmetrical competition between certain of these categories. They thus distinguish:  </w:t>
        <w:br/>
        <w:t xml:space="preserve">- a market comprising only hypermarkets; and  </w:t>
        <w:br/>
        <w:t>- a market comprising supermarkets and equivalent forms of commerce (hypermarkets, hard-discount, and popular stores) excluding small retail businesses (less than 400 m²).</w:t>
      </w:r>
    </w:p>
    <w:p>
      <w:r>
        <w:rPr>
          <w:b/>
        </w:rPr>
        <w:t>[Pages 4–6]</w:t>
      </w:r>
    </w:p>
    <w:p>
      <w:r>
        <w:t>13. Regarding small retail businesses, decision-making practice has also highlighted the existence of an asymmetrical competitive relationship with other forms of commerce. In certain geographical configurations, a hypermarket, supermarket, or hard-discount store of more than 400 m² can typically be used by some consumers as a local store, substituting a convenience store, while the reverse is not true. Thus, while hypermarkets and supermarkets exert strong competition on small retail businesses (less than 400 m²), the reverse is almost never verified. Local stores therefore face competition from other local stores as well as from supermarkets, discount stores, and hypermarkets.</w:t>
      </w:r>
    </w:p>
    <w:p>
      <w:r>
        <w:t>14. Given the small size of grocery stores in Paris, decision-making practice further considers that there is greater substitutability in Paris than in the provinces between small local retail businesses (whose total surface area is less than 400 m²) and the supermarkets and hypermarkets located nearby. In light of these characteristics, decision-making practice has adopted a specific approach by considering that the relevant market in Paris includes all formats of generalist commerce: small retail businesses, supermarkets, popular stores, hard-discount stores, and hypermarkets.</w:t>
      </w:r>
    </w:p>
    <w:p>
      <w:r>
        <w:t>15. In this case, the proposed operation concerns 119 food-oriented stores, of which 95 have a sales area between 400 m² and 2,500 m², 15 food-oriented stores have a sales area of less than 400 m² but greater than 120 m², and 9 food-oriented stores have a sales area of less than 120 m² located in the provinces and in Paris.</w:t>
      </w:r>
    </w:p>
    <w:p>
      <w:r>
        <w:t>2. GEOGRAPHICAL MARKETS</w:t>
      </w:r>
    </w:p>
    <w:p>
      <w:r>
        <w:t>16. Regarding supermarkets, it follows from decision-making practice that the conditions of competition are generally assessed in an area where consumer demand meets the supply of supermarkets and equivalent forms of commerce located within a 15-minute drive.</w:t>
      </w:r>
    </w:p>
    <w:p>
      <w:r>
        <w:t>17. However, decision-making practice has analyzed areas corresponding to a 10-minute drive around supermarkets located in the immediate suburbs of Paris and areas corresponding to a 10 and 15-minute drive around supermarkets located in the outer suburbs or in major provincial cities.</w:t>
      </w:r>
    </w:p>
    <w:p>
      <w:r>
        <w:t>18. Regarding small retail businesses, decision-making practice has specified that this category "is characterized by a clientele primarily composed of individuals living less than 500 meters from the point of sale, walking to the sales location, and making low-value purchases." In several recent decisions, the effects of concentration operations concerning points of sale with a surface area of less than 400 m² have been examined in catchment areas corresponding to a walking time of 10 minutes.</w:t>
      </w:r>
    </w:p>
    <w:p>
      <w:r>
        <w:t>19. In this case, the operation concerns: (i) 76 points of sale with a sales area greater than or equal to 400 m² located in the provinces (excluding major cities) and in Île-de-France (excluding the inner suburbs and Paris), (ii) 12 points of sale with a sales area greater than or equal to 400 m² located in a major provincial city (Montpellier, Marseille, Bordeaux, Toulouse, and Nice), (iii) 4 food-oriented points of sale with a sales area of less than 400 m² (but greater than 120 m²) located in the inner suburbs of Paris, (iv) 12 food-oriented points of sale with a sales area of less than 400 m² (but greater than 120 m²) located in the provinces and in Île-de-France (excluding Paris), (v) 3 food-oriented points of sale with a sales area greater than or equal to 400 m² located in inner Paris, and (vi) 12 food-oriented points of sale with a sales area of less than 400 m² located in Paris (intra-muros).</w:t>
      </w:r>
    </w:p>
    <w:p>
      <w:r>
        <w:t>20. There is no reason to challenge these delineations in the context of the present operation.</w:t>
      </w:r>
    </w:p>
    <w:p>
      <w:r>
        <w:t>III. Competitive Analysis</w:t>
      </w:r>
    </w:p>
    <w:p>
      <w:r>
        <w:t>A. UPSTREAM SUPPLY MARKET</w:t>
      </w:r>
    </w:p>
    <w:p>
      <w:r>
        <w:t>21. Regarding the upstream supply markets, it should be noted that the operation is limited to 119 stores already under the Casino group banner and already sourcing from the Casino group. The acquisition is therefore not likely to strengthen the purchasing power of the Casino group, across all products as well as by major product groups.</w:t>
      </w:r>
    </w:p>
    <w:p>
      <w:r>
        <w:t>22. Consequently, the operation is not likely to harm competition in the upstream distribution market.</w:t>
      </w:r>
    </w:p>
    <w:p>
      <w:r>
        <w:t>B. DOWNSTREAM FOOD DISTRIBUTION MARKET</w:t>
      </w:r>
    </w:p>
    <w:p>
      <w:r>
        <w:t>23. The operation entails an overlap of activity with the stores controlled by Mr. and Mrs. Zouari in the following catchment areas: Nice (757 m²), Pons (720 m²), Saint-Raphaël (559 m²), Noisy-le-Grand (429 m²), Tremblay (675 m²), Champigny-sur-Marne (480 m²), Sarcelles (470 m²). Except for Nice and Saint-Raphaël, the market share of stores operated under the Casino group banner will remain below 25% in all concerned areas. The parties will also continue to face competition from the main national food distribution brands.</w:t>
      </w:r>
    </w:p>
    <w:p>
      <w:r>
        <w:t>24. In the market comprising supermarkets and equivalent forms of commerce located within a 10-minute walking distance around the store located at 9 rue des combattants in Nice (06), Holdingmag2 holds a point of sale under the Leader Price banner with a surface area of 800 m², representing a market share of [0-5]%. Following the operation, its market share will be [0-5]%. Casino will remain present in this area with 12 points of sale with a cumulative surface area of 13,331 m² and a market share of [20-30]%. The parties will face competition from Carrefour (9 points of sale, 16,451 m² and [30-40]%), ITM Entreprises (6 points of sale, 6,383 m² and [10-20]%), Leclerc (1 point of sale, 3,300 m² and [5-10]%), Lidl (3 points of sale, 2,269 m² and [0-5]%) and Système U (5 points of sale, 4,144 m² and [5-10]%).</w:t>
      </w:r>
    </w:p>
    <w:p>
      <w:r>
        <w:t>25. In the market comprising supermarkets and equivalent forms of commerce located within a 15-minute drive around the store located at ZAC Vaulongue Esterel in Saint-Raphaël (83), Holdingmag2 holds a point of sale under the Leader Price banner with a surface area of 600 m², representing a market share of [0-5]%. Following the operation, its market share will be [0-5]%. Casino will remain present in this area with 5 points of sale with a cumulative surface area of 7,353 m² and a market share of [30-40]%. The parties will face competition from Leclerc (1 point of sale, 6,600 m² and [20-30]%), ITM (2 points of sale, 3,258 m² and [10-20]%), Carrefour (3 points of sale, 2,706 m² and [10-20]%), Système U (1 point of sale, 1,914 m² and [5-10]%), Lidl (1 point of sale, 1,437 m² and [5-10]%) and Aldi France (1 point of sale, 600 m² and [0-5]%).</w:t>
      </w:r>
    </w:p>
    <w:p>
      <w:r>
        <w:t>26. In light of the above, the operation is not likely to harm competition.</w:t>
      </w:r>
    </w:p>
    <w:p>
      <w:r>
        <w:t>DECIDES</w:t>
      </w:r>
    </w:p>
    <w:p>
      <w:r>
        <w:t>Sole Article: The operation notified under number 16-055 is authorized.</w:t>
      </w:r>
    </w:p>
    <w:p>
      <w:r>
        <w:t>The Vice-President,</w:t>
        <w:br/>
        <w:t>Claire Favre</w:t>
        <w:br/>
        <w:t>© Authority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