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https://www.autoritedelaconcurrence.fr/fr/decision-de-controle-des-concentrations/relative-la-prise-de-controle-conjoint-par-m-houchard-et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19-DCC-79 of April 26, 2019  </w:t>
        <w:br/>
        <w:t xml:space="preserve">regarding the joint control acquisition by Mr. Houchard and the  </w:t>
        <w:br/>
        <w:t xml:space="preserve">Cooperative U Enseigne of the company Juandis  </w:t>
        <w:br/>
        <w:t>The Competition Authority,</w:t>
      </w:r>
    </w:p>
    <w:p>
      <w:r>
        <w:t xml:space="preserve">Having regard to the complete notification file sent to the mergers department on March 26, 2019,  </w:t>
        <w:br/>
        <w:t xml:space="preserve">regarding the joint control acquisition by Mr. Houchard and the Cooperative U Enseigne of  </w:t>
        <w:br/>
        <w:t>the company Juandis, and formalized by a letter of intent dated March 21, 2019;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joint control acquisition by Mr. Houchard and the Cooperative  </w:t>
        <w:br/>
        <w:t xml:space="preserve">U Enseigne of the company Juandis which holds two business establishments, which  </w:t>
        <w:br/>
        <w:t xml:space="preserve">operate in Antibes (06) two retail outlets primarily selling food under the Leclerc brand,  </w:t>
        <w:br/>
        <w:t xml:space="preserve">the first with a surface area of 1,730 m² and the second being a standalone drive. It constitutes a  </w:t>
        <w:br/>
        <w:t xml:space="preserve">concentration within the meaning of Article L. 430-1 of the Commercial Code. Given the turnover  </w:t>
        <w:br/>
        <w:t xml:space="preserve">achieved by the companies concerned, the operation does not fall under the jurisdiction of  </w:t>
        <w:br/>
        <w:t xml:space="preserve">the European Union. However, the control thresholds mentioned in II of Article L. 430-2  </w:t>
        <w:br/>
        <w:t xml:space="preserve">of the Commercial Code relating to retail trade are exceeded. This operation is  </w:t>
        <w:br/>
        <w:t xml:space="preserve">therefore subject to the provisions of Articles L. 430-3 and following of the Commercial Code relating to  </w:t>
        <w:br/>
        <w:t xml:space="preserve">economic concentration.  </w:t>
        <w:br/>
        <w:t xml:space="preserve">2. The markets concerned by the operation are those of the upstream supply market and  </w:t>
        <w:br/>
        <w:t xml:space="preserve">the downstream retail market primarily selling food, which are consistently defined by the decision-making  </w:t>
        <w:br/>
        <w:t xml:space="preserve">practice of the competition authorities.  </w:t>
        <w:br/>
        <w:t xml:space="preserve">3. Regardless of the segmentations retained, the combined market shares of the new  </w:t>
        <w:br/>
        <w:t xml:space="preserve">entity are below 25% when their activities overlap. Furthermore, the combined market shares of the  </w:t>
        <w:br/>
        <w:t xml:space="preserve">new entity are below 30% in upstream or downstream markets.  </w:t>
        <w:br/>
        <w:t xml:space="preserve">4. Considering the elements of the file and in particular point 384 of the guidelines of  </w:t>
        <w:br/>
        <w:t xml:space="preserve">the Competition Authority relating to the control of concentrations, the operation is not  </w:t>
        <w:br/>
        <w:t>likely to harm competition.</w:t>
      </w:r>
    </w:p>
    <w:p>
      <w:r>
        <w:t xml:space="preserve">DECIDES  </w:t>
        <w:br/>
        <w:t xml:space="preserve">Sole Article: The operation notified under number 19-091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