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https://www.autoritedelaconcurrence.fr/fr/decision-de-controle-des-concentrations/relative-la-prise-de-controle-conjoint-par-m-menetret-et</w:t>
      </w:r>
    </w:p>
    <w:p>
      <w:r>
        <w:t>Pages translated : 2</w:t>
      </w:r>
    </w:p>
    <w:p/>
    <w:p>
      <w:r>
        <w:rPr>
          <w:b/>
        </w:rPr>
        <w:t>[Pages 1–2]</w:t>
      </w:r>
    </w:p>
    <w:p>
      <w:r>
        <w:t xml:space="preserve">FRENCH REPUBLIC  </w:t>
        <w:br/>
        <w:t xml:space="preserve">Decision No. 23-DCC-149 of July 28, 2023  </w:t>
        <w:br/>
        <w:t xml:space="preserve">regarding the joint control acquisition of the company Socodis by the  </w:t>
        <w:br/>
        <w:t xml:space="preserve">Système U group alongside Mr. Menetret  </w:t>
        <w:br/>
        <w:t xml:space="preserve">The Competition Authority,  </w:t>
        <w:br/>
        <w:t xml:space="preserve">Having regard to the complete notification file sent to the mergers department on July 11, 2023,  </w:t>
        <w:br/>
        <w:t xml:space="preserve">concerning the joint control acquisition of the company Socodis, through the company Dismen,  </w:t>
        <w:br/>
        <w:t xml:space="preserve">by the company Système U Est, which belongs to the Système U group, alongside Mr. Menetret,  </w:t>
        <w:br/>
        <w:t xml:space="preserve">formalized by the probationary protocol of January 13,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company Système U Est alongside Mr. Menetret of the company Socodis, aimed at the operation of a retail business predominantly focused on food of the supermarket type under the Super U brand located in Algrange (57)1. It constitutes a concentration operation within the meaning of Article L. 430-1 of the Commercial Code. Given the revenues generated by the companies involved,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The Super U in Algrange has a current sales area of 2,055 m² but has an expansion authorization from the CDAC increasing its sales area to 2,500 m².</w:t>
      </w:r>
    </w:p>
    <w:p>
      <w:r>
        <w:t xml:space="preserve">DECIDES  </w:t>
        <w:br/>
        <w:t xml:space="preserve">Sole Article: The operation notified under number 23-165 is authorized.  </w:t>
        <w:br/>
        <w:t xml:space="preserve">The Vice-President,  </w:t>
        <w:br/>
        <w:t xml:space="preserve">Henri Piffaut  </w:t>
        <w:br/>
        <w:t xml:space="preserve">© Competition Authority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