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https://www.autoritedelaconcurrence.fr/fr/decision-de-controle-des-concentrations/relative-la-prise-de-controle-conjoint-par-nbim-nerva-et</w:t>
      </w:r>
    </w:p>
    <w:p>
      <w:r>
        <w:t>Pages translated : 4</w:t>
      </w:r>
    </w:p>
    <w:p/>
    <w:p>
      <w:r>
        <w:rPr>
          <w:b/>
        </w:rPr>
        <w:t>[Pages 1–3]</w:t>
      </w:r>
    </w:p>
    <w:p>
      <w:r>
        <w:t xml:space="preserve">FRENCH REPUBLIC  </w:t>
        <w:br/>
        <w:t xml:space="preserve">Decision No. 13-DCC-26 of March 1, 2013  </w:t>
        <w:br/>
        <w:t xml:space="preserve">regarding the joint control by NBIM Nerva and Prologis PELP Holding of assets held by Prologis European Logistics Partners  </w:t>
        <w:br/>
        <w:t xml:space="preserve">The Competition Authority,  </w:t>
        <w:br/>
        <w:t xml:space="preserve">Having regard to the notification file submitted in full to the concentrations service on January 25, 2013, regarding the joint control by NBIM Nerva and Prologis PELP Holding of assets held by Prologis European Logistics Partners, formalized by a shareholders' agreement signed on December 20,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NBIM Nerva is a company controlled by Norges Bank, the central bank of Norway. In addition to its role as a central bank, Norges Bank is also active in asset management. In this capacity, it holds and manages the investments of the Government Pension Fund. NBIM is a wholly-owned subsidiary of Norges Bank that holds and manages, for the Government Pension Fund, real estate investments notably in France, the United Kingdom, Switzerland, and Germany. In France, NBIM has created two subsidiaries with Axa, on the one hand, and Generali, on the other hand, holding real estate in the Paris region. NBIM Nerva, a company created for the purposes of this operation, is a 100% subsidiary of NBIM.  </w:t>
        <w:br/>
        <w:t xml:space="preserve">2. Prologis PELP Holding LP (hereinafter "Prologis Holding") is a company created for the purposes of this operation, controlled by Prologis Inc. (hereinafter "Prologis"). Prologis manages and develops real estate, both directly and through other companies, particularly in America, Europe, and Asia. Prologis's activity includes two sectors: (i) direct holding and (ii) investment management. The direct holding activity consists of the acquisition and leasing of real estate properties. The investment management activity involves managing the long-term investments of real estate funds and companies owned by Prologis. In this business sector, Prologis globally manages several private funds composed of industrial real estate assets. Prologis European Logistics Partners (hereinafter, "PELP") is a wholly-owned subsidiary of Prologis Holding, whose purpose is to acquire, own, manage, develop, finance, and dispose of industrial real estate properties in Europe. As of the date of the transaction, PELP will hold a portfolio of approximately [...] industrial real estate assets in Europe, including [...] m² in France.  </w:t>
        <w:br/>
        <w:t xml:space="preserve">3. The notified transaction, formalized by an investment agreement signed on December 20, 2012, by NBIM Nerva and Prologis Holding, consists of the acquisition of 50% of the capital of PELP by NBIM Nerva from Prologis Holding. NBIM Nerva and Prologis Holding will exercise joint control over PELP as they will each hold 50% of the company's capital and, in accordance with the provisions of the draft shareholders' agreement, the strategic decisions regarding its activity must be adopted unanimously by the partners.  </w:t>
        <w:br/>
        <w:t xml:space="preserve">4. Insofar as it results in the joint control of PELP by NBIM Nerva alongside Prologis Holding, the operation constitutes a concentration within the meaning of Article L. 430-1 of the Commercial Code.  </w:t>
        <w:br/>
        <w:t xml:space="preserve">5. The concerned companies together achieve a total worldwide turnover of more than 150 million euros (Prologis: [...] euros for the fiscal year ending December 31, 2011; Norges Bank: [...] euros for the same fiscal year). In France, these two entities achieved a turnover exceeding 50 million euros (Prologis: [...] euros for the fiscal year ending December 31, 2011; Norges Bank: [...]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A. DEFINITION OF PRODUCT AND SERVICE MARKETS  </w:t>
        <w:br/>
        <w:t xml:space="preserve">6. The operation leads to an overlap of activities in certain markets in the real estate sector.  </w:t>
        <w:br/>
        <w:t xml:space="preserve">7. National and European competition authorities have considered, while leaving the question open, various segmentations in the real estate services sector according to (i) the recipients of the services (individuals or businesses), (ii) the pricing method (residential real estate free and subsidized social or intermediate housing), (iii) the type of activity conducted on the premises (offices, commercial premises, and other activity premises), and (iv) the nature of the services or goods offered.  </w:t>
        <w:br/>
        <w:t xml:space="preserve">8. Regarding segmentation according to the nature of the services or goods offered, decision-making practice has considered the distinction between:  </w:t>
        <w:br/>
        <w:t xml:space="preserve">(i) real estate development, which includes construction and sale of real estate;  </w:t>
        <w:br/>
        <w:t xml:space="preserve">(ii) real estate asset management for own account;  </w:t>
        <w:br/>
        <w:t xml:space="preserve">(iii) real estate asset management for third-party account;  </w:t>
        <w:br/>
        <w:t xml:space="preserve">(iv) property administration, which covers the management activities of buildings on behalf of owners and can be segmented between rental management and property management;  </w:t>
        <w:br/>
        <w:t xml:space="preserve">(v) real estate appraisal;  </w:t>
        <w:br/>
        <w:t xml:space="preserve">(vi) real estate consulting;  </w:t>
        <w:br/>
        <w:t xml:space="preserve">(vii) intermediation in real estate transactions, within which a distinction can be made between the sale and leasing of properties.  </w:t>
        <w:br/>
        <w:t xml:space="preserve">9. In this case, the parties are simultaneously present in the market for the holding and management of real estate assets for own account aimed at professionals. Norges Bank operates office premises and Prologis operates industrial premises.  </w:t>
        <w:br/>
        <w:t xml:space="preserve">10. There is no need to challenge these segmentations in the context of the present operation.  </w:t>
        <w:br/>
        <w:t xml:space="preserve">B. GEOGRAPHICAL DEFINITION OF MARKETS  </w:t>
        <w:br/>
        <w:t xml:space="preserve">11. Decision-making practice considers that the markets for real estate services aimed at individuals are generally of a local dimension, although this question has not been definitively resolved. It has also considered a national delimitation for the markets of real estate services aimed at businesses when investment operations are carried out by large investors.  </w:t>
        <w:br/>
        <w:t>12. The parties are simultaneously active in the management for own account of real estate assets for professional use in Île-de-France. For the Île-de-France region, the Minister of Economy noted that "the Paris region has particular property characteristics."</w:t>
      </w:r>
    </w:p>
    <w:p>
      <w:r>
        <w:rPr>
          <w:b/>
        </w:rPr>
        <w:t>[Pages 4–4]</w:t>
      </w:r>
    </w:p>
    <w:p>
      <w:r>
        <w:t>continuity of urban areas. Indeed, there exists a vast, highly urbanized, and homogeneous area covering most of Île-de-France, served by a comprehensive transport network; residents are always able to arbitrate between different parts of the region. This substitutability leads to a convergence in pricing. Therefore, the regional level is the most appropriate for competitive analysis. Consequently, in this case, the analysis will be conducted at the scale of the Île-de-France region.</w:t>
      </w:r>
    </w:p>
    <w:p>
      <w:r>
        <w:t>13. The question of the exact delineation of the relevant markets may, however, be left open in this decision, as the conclusions of the competitive analysis remain unchanged regardless of the delineations adopted.</w:t>
      </w:r>
    </w:p>
    <w:p>
      <w:r>
        <w:t>III. Competitive Analysis</w:t>
      </w:r>
    </w:p>
    <w:p>
      <w:r>
        <w:t>14. In the Île-de-France region, the notifying parties estimated the size of the market for self-managed real estate assets for professional use to be approximately […] m². Norges Bank and Prologis manage respectively […] m² and […] m² of premises for professional use in this region, representing approximately [0-5]% and [0-5]% of the total area. PELP's market share in the Île-de-France region is [0-5]% with an area of […] m². The cumulative market share of the parties in the Île-de-France region will therefore remain very low following the transaction.</w:t>
      </w:r>
    </w:p>
    <w:p>
      <w:r>
        <w:t>15. In the region, the parties will face competition from numerous operators such as real estate companies, including real estate investment companies like Gecina, Cilic, Unibail, or Klepierre.</w:t>
      </w:r>
    </w:p>
    <w:p>
      <w:r>
        <w:t>16. Consequently, this transaction is not likely to harm competition through horizontal effects in the market for self-managed real estate assets for professional use.</w:t>
      </w:r>
    </w:p>
    <w:p>
      <w:r>
        <w:t>DECIDES</w:t>
      </w:r>
    </w:p>
    <w:p>
      <w:r>
        <w:t>Sole Article: The notified transaction under number 12-213 is authorized.</w:t>
      </w:r>
    </w:p>
    <w:p>
      <w:r>
        <w:t xml:space="preserve">The President,  </w:t>
        <w:br/>
        <w:t xml:space="preserve">Bruno Lasserre  </w:t>
        <w:br/>
        <w:t xml:space="preserve">© Competition Authority  </w:t>
        <w:br/>
        <w:t>8 Decision C2006-151 of the Minister of Economy SNI / EFIDIS of January 10,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