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https://www.autoritedelaconcurrence.fr/fr/decision-de-controle-des-concentrations/relative-la-prise-de-controle-conjoint-par-tf1-et-fifl-de</w:t>
      </w:r>
    </w:p>
    <w:p>
      <w:r>
        <w:t>Pages translated : 17</w:t>
      </w:r>
    </w:p>
    <w:p/>
    <w:p>
      <w:r>
        <w:rPr>
          <w:b/>
        </w:rPr>
        <w:t>[Pages 1–3]</w:t>
      </w:r>
    </w:p>
    <w:p>
      <w:r>
        <w:t xml:space="preserve">FRENCH REPUBLIC  </w:t>
        <w:br/>
        <w:t xml:space="preserve">Decision No. 16-DCC-10 of January 21, 2016  </w:t>
        <w:br/>
        <w:t xml:space="preserve">regarding the joint control by TF1 and FIFL of FLCP  </w:t>
        <w:br/>
        <w:t xml:space="preserve">The Competition Authority,  </w:t>
        <w:br/>
        <w:t xml:space="preserve">Having regard to the notification file submitted in full to the merger service on November 27, 2015, concerning the joint control of the company FLCP by TF1 and the company FIFL, formalized by a transfer agreement signed on November 9, 2015;  </w:t>
        <w:br/>
        <w:t xml:space="preserve">Having regard to Book IV of the Commercial Code relating to the freedom of prices and competition, and in particular its Articles L. 430-1 to L. 430-7;  </w:t>
        <w:br/>
        <w:t xml:space="preserve">Having regard to the supplementary elements transmitted by the parties during the investigation;  </w:t>
        <w:br/>
        <w:t xml:space="preserve">Adopts the following decision:  </w:t>
        <w:br/>
        <w:t xml:space="preserve">I. The companies concerned and the operation  </w:t>
        <w:br/>
        <w:t xml:space="preserve">A. THE PARTIES  </w:t>
        <w:br/>
        <w:t xml:space="preserve">1. The public limited company TF1 heads the TF1 group (hereinafter "TF1"), primarily active in the free and pay television sector. Since its privatization in 1987 and the entry of the Bouygues group into its capital, TF1 has been an integrated communication group, and its activities cover the entire audiovisual value chain: production and acquisition of audiovisual rights, publishing and marketing of free and pay television channels, marketing of advertising spaces. The group broadcasts the free channels TF1 (historical terrestrial channel), TMC, NT1, HD1, and LCI1, as well as the pay channels TV Breizh, Histoire, Ushuaia TV, and Série Club. It manages the advertising for all the channels it publishes (except for Série Club), for channels it does not publish (Numéro 23, beIN Sports, Cartoon Network, Boing, and Boomerang), as well as other media supports (internet, radio, digital display). It is also a seller of audiovisual rights, publisher and distributor of DVDs and Blu-rays, and provider of a Video on Demand ("VoD") service. TF1 is also present in the tele-shopping sector with its subsidiary Téléshopping and in free press through its subsidiary Metronews.  </w:t>
        <w:br/>
        <w:t xml:space="preserve">2. TF1 is exclusively controlled by the Bouygues group, which holds 43.5% of its capital. In addition to media, the Bouygues group is notably present in the telecom, construction, and real estate sectors.  </w:t>
        <w:br/>
        <w:t xml:space="preserve">3. FIFL is a holding company exclusively controlled by Mr. Fabrice Larue, who holds more than […]% of its capital. FIFL notably controls FLCP, a holding company specialized in media, of which it holds […]% of the capital and […]% of the voting rights. The other shareholders of FLCP are [confidential] ([…]% of the share capital), its executives ([…]% of the share capital and […]% of the voting rights), [confidential] ([…]% of the share capital and […]% of the voting rights), [confidential] ([…]% of the share capital and […]% of the voting rights), and [confidential] ([…]% of the share capital and […]% of the voting rights). FLCP holds, through its subsidiary FLCP Développement SAS, the entirety of the capital and voting rights of the company Newen.  </w:t>
        <w:br/>
        <w:t xml:space="preserve">4. Newen is active in the media sector. It comprises four production companies that produce and sell programs intended for television (notably the series Plus Belle la Vie, Versailles, and Candice Renoir). These companies also publish dedicated websites for certain programs they produce and create videos and websites for third-party institutions and companies. Newen has production and post-production facilities. It holds […]% of the capital of the company Capa Développement and […]% of the capital of the company 17 juin Développement et Participations. Through its subsidiary TF et Associés, Newen also controls the companies Telfrance, Be Aware, Newen Distribution, as well as other companies active in production and post-production facilities (Studios de Marseille, Seenova, Costumes et Déco, Yellow thing, Studios Post &amp; Prod).  </w:t>
        <w:br/>
        <w:t xml:space="preserve">B. THE OPERATION  </w:t>
        <w:br/>
        <w:t xml:space="preserve">5. The notified operation, formalized by a transfer agreement signed on November 9, 2015, provides for the joint control of FLCP by TF1 and FIFL. Following the operation, TF1 will hold 70% of the capital of FLCP. The remaining capital will be held by FIFL ([…]%), [confidential], and [confidential] ([…%]) and [confidential] ([…%]) [confidential].  </w:t>
        <w:br/>
        <w:t xml:space="preserve">6. FLCP will be managed by a president, assisted by a delegated general director. The president will be appointed and dismissed by the supervisory board for a renewable term of four years. The president may appoint and dismiss the executives of the subsidiaries. [confidential] and [confidential] will be respectively the president and the delegated general director of FLCP. The supervisory board will consist of six members, three of whom will be appointed by TF1 and three by FIFL. The president, appointed from among the members designated by TF1, will not have a casting vote. The supervisory board will be responsible for authorizing the adoption and modification of the budget and/or the three-year development plan of Newen. Its decisions are made by a simple majority.  </w:t>
        <w:br/>
        <w:t xml:space="preserve">7. FLCP will also have an operational committee composed of six members, three of whom will be appointed by TF1 and three by FIFL. It will be informed in detail and in advance, in particular, of the acquisition of assets or securities for a price exceeding […] euros, the sale or transfer of assets exceeding […] euros, investments or divestments exceeding […] euros, investments outside the group's activities, and the conclusion [confidential].  </w:t>
        <w:br/>
        <w:t xml:space="preserve">8. Pursuant to all these provisions, each party will be able to block the adoption of FLCP's strategic decisions concerning the appointment and dismissal of executives, as well as the adoption of the budget and development plan.  </w:t>
        <w:br/>
        <w:t xml:space="preserve">9. Following the operation, TF1 and FIFL will therefore exercise decisive influence over FLCP's activity. As it results in the joint control of FLCP by TF1 and FIFL, this operation constitutes a concentration operation within the meaning of Article L. 430-1 of the Commercial Code.  </w:t>
        <w:br/>
        <w:t xml:space="preserve">10. The companies concerned together achieve a total global turnover of over 150 million euros (Bouygues: 33.1 billion euros for the fiscal year ending December 31, 2014; FIFL: […] euros for the same fiscal year). At least two of the companies concerned achieve a turnover in France exceeding 50 million euros (Bouygues: 21.1 billion euros for the fiscal year ending December 31, 2014; FIFL: […] euros for the same fiscal year). Given these turnover figures, the operation does not fall under the jurisdiction of the European Union. However, the control thresholds mentioned in point I of Article L. 430-2 of the Commercial Code are exceeded. This operation is therefore subject to the provisions of Articles L. 430-3 and following of the Commercial Code relating to economic concentration.  </w:t>
        <w:br/>
        <w:t xml:space="preserve">II. Delimitation of relevant markets  </w:t>
        <w:br/>
        <w:t xml:space="preserve">11. Audiovisual content intended for television broadcasting covers heterogeneous products, such as films, TV movies, documentaries, game shows, entertainment shows, sports events, etc. In the upstream markets for the acquisition of rights, the decision-making practice thus operates a first segmentation according to the type of audiovisual content. It considers, in particular, that stock programs (excluding theatrical films and recent American series) as well as flow programs constitute two distinct relevant markets (A). The decision-making practice also segments the upstream markets according to the type of content distribution (linear and non-linear) (B).  </w:t>
        <w:br/>
        <w:t xml:space="preserve">12. In this case, the parties are simultaneously active upstream in the stock program markets, where they operate as sellers. In these markets, TF1 also operates as a buyer for its channel publishing activities.  </w:t>
        <w:br/>
        <w:t>13. The parties are also marginally present in the online advertising markets. However, given their low market share (less than 6%), any risk of harm to competition can be ruled out in these markets, which will not be subject to detailed analysis in this decision.</w:t>
      </w:r>
    </w:p>
    <w:p>
      <w:r>
        <w:rPr>
          <w:b/>
        </w:rPr>
        <w:t>[Pages 4–6]</w:t>
      </w:r>
    </w:p>
    <w:p>
      <w:r>
        <w:t xml:space="preserve">A. TELEVISION PROGRAM MARKETS  </w:t>
        <w:br/>
        <w:t xml:space="preserve">14. The decision-making practice2 has considered it appropriate to distinguish between, on the one hand, stock programs and, on the other hand, flow programs. The traditional criteria for distinguishing these different categories of content are the differences observed, on the one hand, in the identity of sellers and buyers and, on the other hand, regarding prices.  </w:t>
        <w:br/>
        <w:t xml:space="preserve">a) Regarding stock programs  </w:t>
        <w:br/>
        <w:t xml:space="preserve">15. The stock program market includes a set of rights pertaining to products such as fictions (non-American series, telefilms, mini-series), documentaries, or animations, excluding however feature films and recent American series which have been considered as part of distinct relevant markets. It should also be noted that European audiovisual works and works in original French ("EOF") are subject to specific regulations providing for production contribution obligations and broadcasting quotas, modified by decree3. Regarding contribution obligations, broadcasters of free-to-air television services via terrestrial analog mode must, at their choice, invest at least 15% of their net annual turnover from the previous financial year in expenses contributing to the development of European audiovisual works or EOF, of which at least 10.5% must be in heritage works (first option), or invest at least 12.5% of this same turnover in the financing of heritage works (second option). A "heritage work" is a program falling within one of the following genres: fiction, animation, creative documentary, including those inserted within a program other than a news broadcast or entertainment show, video-music, and recording or recreation of live performances. Thus, magazines and talk shows are now excluded from the definition.  </w:t>
        <w:br/>
        <w:t xml:space="preserve">16. Furthermore, channels have an investment obligation in independent production. The contribution rate has been set at 9% for channels that have chosen the first option, and at 9.25% for channels that have chosen the second.  </w:t>
        <w:br/>
        <w:t xml:space="preserve">17. Since the 2010 decree, publishers who finance a substantial part of the cost of the work may hold a right to the exploitation revenues, under the conditions defined by its specifications or its agreement.  </w:t>
        <w:br/>
        <w:t xml:space="preserve">18. By way of derogation4 and under the conditions provided by the decree, the service publisher may hold directly or indirectly producer shares and marketing mandates if it has financed at least 70% of the CNC production estimate of the work attached to the co-production contract. The decree also provides that "marketing mandates and secondary rights are subject to a separate contract and must be negotiated under fair, transparent, and non-discriminatory conditions, specified by the agreements and specifications taking into account the agreements concluded between service publishers5 and the professional organizations of the audiovisual industry." The parties indicate that negotiations between the representative organizations of producers and audiovisual distributors and service publishers began at the end of 2015 without the agreements being finalized as of the date of this decision.  </w:t>
        <w:br/>
        <w:t xml:space="preserve">19. In the absence of consideration of interprofessional agreements, one of the conditions for the service publisher to hold producer shares and/or marketing mandates is that "the producer does not have for the work in question either a distribution capacity, internal or through a subsidiary, nor a framework agreement concluded with a distribution company"6.  </w:t>
        <w:br/>
        <w:t xml:space="preserve">20. Furthermore, groups that operate several television channels can base their contribution rate on the turnover generated by all the channels they own, which is the case for TF1 and France Télévisions. It should also be noted that the rules applicable to the scope and duration of acquired rights are governed by interprofessional agreements and differ for each channel.  </w:t>
        <w:br/>
        <w:t xml:space="preserve">21. Regarding broadcasting quotas, channel publishers (regardless of the mode of broadcasting) must broadcast at least 60% of European audiovisual works and 40% of EOF works, across all programming hours, but also during peak viewing times. When the publisher's turnover exceeds 350 million euros, 120 hours of European audiovisual works or EOF must be broadcast between 8 PM and 9 PM. The decree of July 2, 2010 mentioned above allows publishers to take into account, up to 25% of this annual volume, works in rebroadcast.  </w:t>
        <w:br/>
        <w:t xml:space="preserve">22. In its decision n°10-DCC-11 regarding the acquisition of the TMC and NT1 channels by TF1, the Authority noted that a large part of the publishers overwhelmingly meet their obligations for the production and/or broadcasting of heritage EOF audiovisual works through expenditures on fiction works. It thus considered the existence, within stock programs, of a specific market for EOF fictions.  </w:t>
        <w:br/>
        <w:t xml:space="preserve">b) Flow programs  </w:t>
        <w:br/>
        <w:t xml:space="preserve">23. The flow program market includes various news programs, magazines, games, variety shows, or talk shows.  </w:t>
        <w:br/>
        <w:t xml:space="preserve">24. Furthermore, the decision-making practice has considered a possible market for the acquisition of rights pertaining to news images (flow), while leaving the questions of the existence of this market and its geographical delimitation open7. The suppliers in this potential market are the two major news agencies, APTN (Associated Press Television News) and Reuters, but also independent companies (CAPA, Point du jour, etc.).  </w:t>
        <w:br/>
        <w:t xml:space="preserve">25. The notifying parties do not challenge these segmentations.  </w:t>
        <w:br/>
        <w:t xml:space="preserve">c) Segmentation between original programs and "catalog" programs  </w:t>
        <w:br/>
        <w:t xml:space="preserve">26. Free channels have two acquisition circuits for stock programs and, in particular, EOF fictions. Channels can first purchase broadcasting rights from the program producer at the time of developing its financing plan. This is referred to as "pre-purchases" of broadcasting rights, these investments being accounted for under the obligations of free channels regarding the financing of French audiovisual production. Free channels can also purchase broadcasting rights on existing programs from producers or distributors holding rights. This is referred to as a purchase contract.  </w:t>
        <w:br/>
        <w:t xml:space="preserve">27. The decision-making practice has segmented the market for rights related to feature films and television series according to the broadcasting window but has not ruled on the market for rights related to television programs. Given the regulatory specificities, the notifying parties propose a sub-segmentation between original programs and catalog programs (programs that have already been broadcast).  </w:t>
        <w:br/>
        <w:t xml:space="preserve">28. However, this segmentation has not reached any consensus regarding flow programs among the respondents to the market test conducted in this case. In contrast, regarding stock programs, the vast majority of respondents favor the distinction between original programs and catalog programs.  </w:t>
        <w:br/>
        <w:t xml:space="preserve">29. In this case, the question of segmentation between original programs and catalog programs can be left open, as, regardless of the delimitation retained, the conclusions of the analysis remain unchanged.  </w:t>
        <w:br/>
        <w:t xml:space="preserve">B. GEOGRAPHICAL DELIMITATION  </w:t>
        <w:br/>
        <w:t xml:space="preserve">30. The decision-making practice defines the stock and flow program markets as being limited to the French territory, insofar as the rights are acquired only for the national territory or, at most, for the same linguistic area8. The same applies to the specific market for rights pertaining to EOF fictions.  </w:t>
        <w:br/>
        <w:t xml:space="preserve">C. SEGMENTATION ACCORDING TO THE MODE OF BROADCASTING  </w:t>
        <w:br/>
        <w:t xml:space="preserve">1. REMINDER OF THE DECISION-MAKING PRACTICE  </w:t>
        <w:br/>
        <w:t xml:space="preserve">31. The decision-making practice considers that it is not necessary to distinguish as many markets for the acquisition of rights to content intended for television broadcasting as there are distribution platforms9. Indeed, it emphasizes that the rights acquired for television broadcasting often cover all major distribution platforms: satellite, terrestrial (analog and digital), cable, internet. The authorities, however, have retained a segmentation of upstream markets based on the type of content10.  </w:t>
        <w:br/>
        <w:t>32. The instruction of the file has not led to a reconsideration of this segmentation, approved by the notifying parties. Given the evolution of the television sector, it is appropriate to note that...</w:t>
      </w:r>
    </w:p>
    <w:p>
      <w:r>
        <w:rPr>
          <w:b/>
        </w:rPr>
        <w:t>[Pages 7–9]</w:t>
      </w:r>
    </w:p>
    <w:p>
      <w:r>
        <w:t>however, to examine the relevance of identifying a market for the acquisition of television program rights intended for catch-up TV broadcasting (2) as well as a segmentation of the acquisition of these programs between rights intended for traditional, so-called linear television services and those intended for "non-linear" television services (such as Video on Demand ("VoD") and Pay Per View ("PPV")) (3).</w:t>
      </w:r>
    </w:p>
    <w:p>
      <w:r>
        <w:t>2. REGARDING CATCH-UP TELEVISION</w:t>
      </w:r>
    </w:p>
    <w:p>
      <w:r>
        <w:t>33. According to the notifying parties, there is no need to consider a specific market for the acquisition of television programs intended for catch-up TV broadcasting. Catch-up TV services are exclusively composed of programs broadcast in a linear manner by the channel to which they are attached. There is a single contract for linear broadcasting and catch-up TV broadcasting, and no additional price is provided for catch-up TV broadcasting.</w:t>
      </w:r>
    </w:p>
    <w:p>
      <w:r>
        <w:t>34. In its opinion submitted to the Authority during the 2012 investigation11, the CSA shared this view insofar as the rights related to catch-up television are generally marketed inextricably from the rights related to linear television12. Similarly, the vast majority of stakeholders surveyed in the context of the market test in this case do not consider catch-up television as a distinct segment.</w:t>
      </w:r>
    </w:p>
    <w:p>
      <w:r>
        <w:t>35. Therefore, for the examination of the present operation, there is no need to retain a distinct market segment for the purchase of rights intended for catch-up television broadcasting.</w:t>
      </w:r>
    </w:p>
    <w:p>
      <w:r>
        <w:t>3. REGARDING RIGHTS INTENDED FOR "NON-LINEAR" BROADCASTING</w:t>
      </w:r>
    </w:p>
    <w:p>
      <w:r>
        <w:t>36. The notifying parties specify that the broadcasting rights for television programs intended for non-linear television services (VoD and subscription VoD, or "SVoD") are subject to separate contracts. These rights exist for most stock programs. Regarding flow programs, the notifying parties consider that it is not relevant to distinguish their acquisition based on whether they are broadcast in VoD or SVoD, the latter mode of consumption being still very underdeveloped for this type of program.</w:t>
      </w:r>
    </w:p>
    <w:p>
      <w:r>
        <w:t>37. The elements collected during the investigation demonstrate that the distinction between broadcasting rights intended for non-linear television services and those intended for linear television services is relevant for stock programs and EOF fictions. However, it is of little operational relevance for flow programs, which are not intended to be rebroadcast on linear television services. The vast majority of respondents to the market test confirmed the relevance of this approach.</w:t>
      </w:r>
    </w:p>
    <w:p>
      <w:r>
        <w:t>38. In this case, the question of segmentation between rights intended for linear broadcasting and rights intended for non-linear broadcasting can be left open, insofar as, regardless of the delimitation retained, the conclusions of the analysis remain unchanged.</w:t>
      </w:r>
    </w:p>
    <w:p>
      <w:r>
        <w:t>11 Opinion No. 2012-11 of May 22, 2012, to the Competition Authority on the notification of the acquisition of the companies Direct 8, Direct Productions, Direct Digital, and Bolloré Intermedia by the companies Vivendi Universal and Groupe Canal Plus.</w:t>
      </w:r>
    </w:p>
    <w:p>
      <w:r>
        <w:t>12 Opinion of the CSA, p. 16.</w:t>
      </w:r>
    </w:p>
    <w:p>
      <w:r>
        <w:t>III. Competitive Analysis</w:t>
      </w:r>
    </w:p>
    <w:p>
      <w:r>
        <w:t>39. Given the activities of the parties, the operation is likely to lead to horizontal effects (A) and vertical effects (B).</w:t>
      </w:r>
    </w:p>
    <w:p>
      <w:r>
        <w:t>A. HORIZONTAL EFFECTS</w:t>
      </w:r>
    </w:p>
    <w:p>
      <w:r>
        <w:t>40. The activities of the parties overlap only in the stock programs market, where their market shares are [0-5]% for TF1 and [10-15]% for Newen, the new entity thus representing [10-20]% of the market following the operation.</w:t>
      </w:r>
    </w:p>
    <w:p>
      <w:r>
        <w:t>41. In the sole segment of EOF fictions, the market shares of the parties are similarly [0-5]% for TF1 and [10-15]% for Newen. Following the operation, the new entity will therefore hold a market share of [10-20]%, with the operation resulting in only a limited increment of market share.</w:t>
      </w:r>
    </w:p>
    <w:p>
      <w:r>
        <w:t>42. Consequently, the operation is not likely to harm competition through horizontal effects in the market for broadcasting rights of stock programs and EOF fictions.</w:t>
      </w:r>
    </w:p>
    <w:p>
      <w:r>
        <w:t>B. VERTICAL EFFECTS</w:t>
      </w:r>
    </w:p>
    <w:p>
      <w:r>
        <w:t>43. The operation will allow the TF1 group to strengthen its position in the upstream markets for the commercialization of broadcasting rights for audiovisual programs, markets in which it is also present as a buyer. It therefore leads to a strengthening of the group's vertical integration. However, a vertical concentration can restrict competition by making it more difficult for competitors to access the markets in which the new entity will be active, or even by excluding competitors or penalizing them through increased costs. This is referred to as "locking in" or "foreclosure" of markets. Such a situation can increase the market power of the new entity and allow it to raise prices or reduce the quantities offered, particularly if the integrated company refuses to sell an input to its downstream competitors, or provides that input at a high price, under unfavorable conditions, or at a degraded quality level (this is referred to as "input locking"). This foreclosure can be total, when competitors are no longer supplied at all, or partial, when the tightening of pricing conditions leads to an increase in competitors' costs.</w:t>
      </w:r>
    </w:p>
    <w:p>
      <w:r>
        <w:t>44. It is therefore necessary to examine to what extent, following the operation, the TF1 group could be incentivized to restrict the ability of competing channels to source audiovisual programs by locking access to content produced by Newen in order to degrade the quality of their broadcasting schedule.</w:t>
      </w:r>
    </w:p>
    <w:p>
      <w:r>
        <w:t>45. In accordance with decision-making practice, the likelihood that the operation distorts competition through vertical effects depends on TF1's ability to effectively restrict its competitors' access to television program rights (a), the group's incentive to implement such a strategy (b), and the effects of this strategy on the relevant markets (c). In practice, these three criteria are closely linked.</w:t>
      </w:r>
    </w:p>
    <w:p>
      <w:r>
        <w:t>a) On the ability of the new entity to lock access to the broadcasting rights market</w:t>
      </w:r>
    </w:p>
    <w:p>
      <w:r>
        <w:t>(i) Position of the parties</w:t>
      </w:r>
    </w:p>
    <w:p>
      <w:r>
        <w:t>The feasibility and interest for TF1 in a strategy aimed at restricting its competitors' access to the broadcasting rights of the television programs it holds primarily depend on its control over access to these rights. The decision-making practice of competition authorities generally dismisses the risk that the vertical strengthening caused by a concentration operation leads to a locking effect when the share of the company resulting from the operation in the relevant markets does not exceed 30%. It is therefore necessary in this case to analyze the position that TF1 will hold after the operation in the markets for television program rights from both the supply side and the demand side.</w:t>
      </w:r>
    </w:p>
    <w:p>
      <w:r>
        <w:t>On the supply side</w:t>
      </w:r>
    </w:p>
    <w:p>
      <w:r>
        <w:t>46. Newen markets broadcasting rights for stock and flow television programs. TF1, through its subsidiary TF1 Droits Audiovisuels, operates in the market for broadcasting rights for stock television programs.</w:t>
      </w:r>
    </w:p>
    <w:p>
      <w:r>
        <w:t>47. In the rights market, Newen generated a turnover of […] euros in 2014 ([…] for stock programs, including […] for EOF fictions and […] for flow programs), representing an estimated market share of between 10 and 15% for stock programs and EOF fictions, and between 5 and 10% for flow programs13.</w:t>
      </w:r>
    </w:p>
    <w:p>
      <w:r>
        <w:t>48. Newen's main client is the France Télévisions group. The following table describes the distribution of Newen's turnover among its various clients:</w:t>
      </w:r>
    </w:p>
    <w:p>
      <w:r>
        <w:t>Clients Proportion of Newen's turnover in 2014</w:t>
        <w:br/>
        <w:t>France Télévisions [80-90]%</w:t>
        <w:br/>
        <w:t>TF1 -</w:t>
        <w:br/>
        <w:t>M6 [0-5]%</w:t>
        <w:br/>
        <w:t>Canal + [0-5]%</w:t>
        <w:br/>
        <w:t>Arte [0-5]%</w:t>
      </w:r>
    </w:p>
    <w:p>
      <w:r>
        <w:t>49. TF1 Production, a subsidiary of TF1, does not operate in the market as all its activity is dedicated to internal production. TF1 Droits Audiovisuels, another subsidiary of TF1, operates in the market for stock program rights and in the EOF fictions segment by exploiting a catalog of programs14. It generated a turnover of […] euros in 2014 (including […] for EOF fictions), representing a market share of between [0-5]% and [0-5]%.</w:t>
      </w:r>
    </w:p>
    <w:p>
      <w:r>
        <w:t>13 These market shares are provided by the parties.</w:t>
      </w:r>
    </w:p>
    <w:p>
      <w:r>
        <w:t>14 Notably the programs Falco, Léo Mattei, Camping Paradis, Profilage, Clem.</w:t>
      </w:r>
    </w:p>
    <w:p>
      <w:r>
        <w:rPr>
          <w:b/>
        </w:rPr>
        <w:t>[Pages 10–12]</w:t>
      </w:r>
    </w:p>
    <w:p>
      <w:r>
        <w:t xml:space="preserve">On the demand side  </w:t>
        <w:br/>
        <w:t xml:space="preserve">50. TF1 is a buyer of broadcasting rights for the channels it operates. A large number of competing channels, whether paid or free, specialized or generalist, also acquire rights to television programs. In 2014, TF1 spent […] euros on the purchase of television programs across all categories. The total purchasing volume can be estimated at approximately 2.1 billion euros in 2014, according to data collected during the investigation, with the notifying parties representing [20-30]% of the market15.  </w:t>
        <w:br/>
        <w:t xml:space="preserve">51. In the narrower market for the acquisition of rights related to stock programs, TF1's acquisitions amounted to […] euros in 2014. The total market is estimated at approximately 1.1 billion euros, meaning TF1 will represent [20-30]% of the value of purchases.  </w:t>
        <w:br/>
        <w:t xml:space="preserve">52. In the market for the acquisition of rights related to EOF fictions, TF1's acquisitions amounted to […] euros in 2014. The total market is estimated at 523.8 million euros, with TF1 representing [30-40]% of the value of purchases.  </w:t>
        <w:br/>
        <w:t xml:space="preserve">53. In the market for the acquisition of rights related to flow programs, TF1's acquisitions amounted to […] euros in 2014. The total market is estimated at approximately 1 billion euros, with TF1 representing [20-30]% of the value of purchases.  </w:t>
        <w:br/>
        <w:t xml:space="preserve">Conclusion on the parties' position  </w:t>
        <w:br/>
        <w:t xml:space="preserve">54. The new entity will have market shares below 30% in value in the markets for television program rights following the transaction, both on the supply side and the demand side, except for the demand for EOF fiction programs where the new entity holds a market share of [30-40]%.  </w:t>
        <w:br/>
        <w:t xml:space="preserve">55. However, stock programs and particularly EOF fictions represent an essential input for the operation of free-to-air channels, as under Decree No. 2010-747, they are required to broadcast at least 60% of European audiovisual works, of which 50% must be EOF audiovisual works. Given these regulatory constraints, the risk of a vertical effect concerning this category must be examined. On the other hand, any risk of harming competition through a lock-in of access to flow program rights can be dismissed.  </w:t>
        <w:br/>
        <w:t xml:space="preserve">(ii) Terms of acquisition of broadcasting rights  </w:t>
        <w:br/>
        <w:t xml:space="preserve">56. According to the information provided by the notifying parties, Newen transfers the rights it holds for EOF fiction to free channels through a negotiated process, fiction by fiction, which corresponds to normal commercial practices in the sector. Development agreements and literary agreements are developed before pre-purchase or co-production agreements are concluded. Negotiation can last several months. Exclusivity on the programs also corresponds to market practice, with its duration varying between 12 and 60 months depending on the program concerned.  </w:t>
        <w:br/>
        <w:t xml:space="preserve">57. The notifying parties specify that purchasing multiple programs from the same seller generally does not lead to discounts. The surveyed channels confirm this analysis. However, half of the producers surveyed offer this type of discount.  </w:t>
        <w:br/>
        <w:t xml:space="preserve">58. On the other hand, the fact that a rights buyer holds multiple channels allows for an increase in purchasing volume, and for stock programs, preemption rights can be used to ensure the circulation of rights across different channels through rebroadcasts.  </w:t>
        <w:br/>
        <w:t xml:space="preserve">(iii) Ability of the parties' competitors to counter a lock-in of television program purchases  </w:t>
        <w:br/>
        <w:t xml:space="preserve">59. In the rights market, the market shares of TF1 and its competitors in 2014 are represented in the table below16:  </w:t>
        <w:br/>
        <w:t xml:space="preserve">Audiovisual Groups Market share for stock programs Market share for EOF fictions  </w:t>
        <w:br/>
        <w:t xml:space="preserve">TF1 [20-30]% [30-40]%  </w:t>
        <w:br/>
        <w:t xml:space="preserve">France Télévisions [40-45]% [45-50]%  </w:t>
        <w:br/>
        <w:t xml:space="preserve">Canal + [10-15]% [10-15]%  </w:t>
        <w:br/>
        <w:t xml:space="preserve">M6 [5-10]% [5-10]%  </w:t>
        <w:br/>
        <w:t xml:space="preserve">NextRadioTV [0-5]% -  </w:t>
        <w:br/>
        <w:t xml:space="preserve">NRJ [0-5]% [5-10]%  </w:t>
        <w:br/>
        <w:t xml:space="preserve">Arte [5-10]% [0-5]%  </w:t>
        <w:br/>
        <w:t xml:space="preserve">NBCU [0-5]% [0-5]%  </w:t>
        <w:br/>
        <w:t xml:space="preserve">Lagardère [0-5]% -  </w:t>
        <w:br/>
        <w:t xml:space="preserve">60. France Télévisions is the leading player in the market with a market share exceeding 40%. TF1 is the second player, followed by Canal + and M6.  </w:t>
        <w:br/>
        <w:t xml:space="preserve">61. On the supply side, however, the market for the production and marketing of television programs is very fragmented. The CSA reports 972 active producers in 201317, and half of the respondents to the market test believe that there are no significant barriers to entry in this market18. Therefore, in the event that the new entity were to deny access to its programs to competing channels or favor its own group’s channels, the competing channels would have alternative sources of supply to which they could redirect their demand and thus counter any potential lock-in by TF1.  </w:t>
        <w:br/>
        <w:t xml:space="preserve">62. Newen faces competition from several significant producers in the stock program market. In particular, in this market, Lagardère holds an estimated market share of between 10 and 15%, and Zodiak Media holds an estimated market share of between 5 and 10%. Furthermore, a large number of producers hold an estimated market share between 0 and 5% (notably Kabo Productions, Tetra Media Studio, Son &amp; Lumière, group JLA, group Elephant, Xilam Animation, Moonscoop IP, Gaumont, Normaal, Media Participations, Studio 100 Animation, Futurikon, Patrick Spica Productions, Troisième Œil, PMP, Maria Roche Productions, Production Tony Comiti). The market share estimates observed during the investigation are similar in the sole segment of EOF fictions.  </w:t>
        <w:br/>
        <w:t xml:space="preserve">(iv) Contractual provisions that may hinder the implementation of a lock-in strategy  </w:t>
        <w:br/>
        <w:t xml:space="preserve">63. The investigation reveals that, in practice, a significant portion of television program rights could not, in any case, be subject to a lock-in strategy given the rights granted to broadcasters. Indeed, pre-purchases of broadcasting rights for free-to-air channels by historical free television groups are generally accompanied by priority and/or preemption rights, under which they have a priority option to purchase subsequent broadcasting rights, or even the possibility to preempt any acquisition by a third channel. For the content marketed by Newen and accompanied by such rights, TF1 would therefore be unable to implement a lock-in strategy in any way.  </w:t>
        <w:br/>
        <w:t xml:space="preserve">64. The Competition Authority has previously noted that channels holding exclusive broadcasting rights in clear "restrict access to this market by several means, some of which have been reiterated during the conclusion of the latest interprofessional agreements with producers' unions: (...) right of first and last refusal: the producer is required to inform the channel of their intention to transfer the rights to the work of which it has been a co-producer or which it has pre-purchased. The latter has a certain period to assert its right of first refusal, whereby the producer commits to negotiate exclusively with it. In the event of a failure of the negotiation, the producer is still required to inform the channel of the existence of an offer made to a third party. If the channel asserts its right of last refusal within a certain period and offers a price equal to that requested by the producer from the third party, the producer is then required to transfer the rights to it. This refusal can, however, in some cases be exercised in exchange for a "simple" compensation (...)19.  </w:t>
        <w:br/>
        <w:t xml:space="preserve">65. The examination of the standard contracts provided during the market test by the various broadcasters has confirmed that the presence of these clauses in contracts is a common and widespread practice.  </w:t>
        <w:br/>
        <w:t xml:space="preserve">66. It should be noted in this case that Newen generates nearly [80-90]% of its revenue from the France Télévisions group. The latter argues that the transaction would pose a particular risk to it, as TF1 could deprive the group of important content produced by Newen, particularly the EOF series Plus Belle la Vie. However, the investigation reveals that the contracts concluded between France Télévisions and Newen ensure stability in the contractual relations between these two groups.  </w:t>
        <w:br/>
        <w:t xml:space="preserve">67. First, the contract for the program Plus Belle la Vie includes a "right of follow-up," with automatic renewal, according to specified financial terms. This provision thus requires Newen to offer France Télévisions the acquisition of rights for any sequel to the work as a priority. Newen cannot unilaterally terminate the contract at its end, as this possibility exists only for France Télévisions.  </w:t>
        <w:br/>
        <w:t>19 Decision No. 10-DCC-11 cited above, §282.</w:t>
      </w:r>
    </w:p>
    <w:p>
      <w:r>
        <w:rPr>
          <w:b/>
        </w:rPr>
        <w:t>[Pages 13–15]</w:t>
      </w:r>
    </w:p>
    <w:p>
      <w:r>
        <w:t>68. The granting of sequel rights is a common practice in pre-purchase contracts between producers and broadcasters. It emerges from the investigation that holding an automatic renewal right for the contract on the program Plus Belle la Vie is, on the other hand, uncommon and provides France Télévisions with significant protection in its contractual relationship with Newen. The contract can thus be automatically renewed, respecting the financial conditions provided and without the need for new negotiations between the parties. In light of these contractual provisions, TF1 will not be able, at the end of the transaction, to oppose the renewal of the contract under which Newen produces Plus Belle la Vie for France Télévisions.</w:t>
      </w:r>
    </w:p>
    <w:p>
      <w:r>
        <w:t>69. Secondly, the contracts relating to the program Plus Belle la Vie contain provisions that strengthen the rights held by France Télévisions over previous seasons. These provisions limit the circulation of works in the market to the benefit of France Télévisions. Thus, after the last television broadcast of the program and within a period of [confidential], France Télévisions can notify its intention to acquire new broadcasting rights [confidential]. If France Télévisions waives this right and [confidential], it still benefits from a right of last refusal when the producer is presented with an acquisition offer for the rights. Furthermore, in the event of exercising the sequel right without repurchase, the producer cannot, as long as the work or its sequels are in development or production, transfer the rights without the agreement of France Télévisions to broadcasters present in the territory defined by the contract. The contract also provides that part of the production of Plus Belle la Vie is to be carried out by [confidential].</w:t>
      </w:r>
    </w:p>
    <w:p>
      <w:r>
        <w:t>70. Thirdly, the contractual provisions also grant France Télévisions a validation power over the determining elements of the quality of the production of Plus Belle la Vie. [confidential]. Within the contract itself, France Télévisions thus has means to control the content of the program and thereby limit the possibility for TF1 to devalue the worth of Plus Belle la Vie.</w:t>
      </w:r>
    </w:p>
    <w:p>
      <w:r>
        <w:t>71. Fourthly, finally, regarding programs other than Plus Belle la Vie, the contract concerning the program Candice Renoir also includes a sequel right as well as identical provisions to those of the program Plus Belle la Vie for previous seasons. For the flow programs purchased from Newen, the contracts include a sequel right and, for the most part, a repurchase right on old shows either at the end of the current rights20, or in the event of a competing offer21, as well as a right of last refusal for the broadcasting of old shows on other channels, as long as new shows are in development or production for France Télévisions22. Unlike the Plus Belle la Vie contract, the sequel rights mentioned in the aforementioned contracts are not regulated and the contracts cannot be automatically renewed. The producer, however, commits to prioritize offering France Télévisions the acquisition of rights for any sequel to the work, and this sequel right then opens "a negotiation to be conducted in good faith between the parties."</w:t>
      </w:r>
    </w:p>
    <w:p>
      <w:r>
        <w:t>72. In light of all these elements, the ability of the notifying parties to implement a strategy to lock access to television program rights is not established.</w:t>
      </w:r>
    </w:p>
    <w:p>
      <w:r>
        <w:t>b) On the incentive of the new entity to lock access to rights</w:t>
      </w:r>
    </w:p>
    <w:p>
      <w:r>
        <w:t>73. As specified by the guidelines of the Competition Authority regarding the control of concentrations, "the Authority concretely analyzes the likelihood of the new entity adopting locking strategies by considering both the incentives to adopt such behaviors and the factors that may diminish or even eliminate such incentives, including the potentially illegal nature of these behaviors. It is a matter of demonstrating initially that the vertically integrated company resulting from the transaction will be incentivized to lock the market. This incentive depends on the profitability of the lock-in"23.</w:t>
      </w:r>
    </w:p>
    <w:p>
      <w:r>
        <w:t>74. Locking access to Newen's stock program rights and EOF fictions could allow TF1 to increase the attractiveness of the group's channels by impoverishing the audiovisual programming of competing channels.</w:t>
      </w:r>
    </w:p>
    <w:p>
      <w:r>
        <w:t>75. However, by locking access to its television program rights, TF1 would deprive itself of a substantial part of Newen's revenues. Free-to-air channels are indeed the primary buyers of this type of right. Newen's main client is France Télévisions, which represents nearly [80-90]% of its turnover, so implementing a locking strategy would effectively deprive Newen of almost all its revenues. A strategy to restrict access to rights without completely locking access could also lead to similar losses for the new entity, as free-to-air operators are likely to assert their counter-power by shifting all their purchases to other rights holders. In this case, the parties to the transaction are not considered, by the vast majority of respondents, as essential sellers.</w:t>
      </w:r>
    </w:p>
    <w:p>
      <w:r>
        <w:t>76. Furthermore, given the mandatory quotas for broadcasting EOF works, TF1 must invest 12.5% of its turnover in heritage audiovisual production, of which at least 9.25% must be in independent production. Therefore, integrating Newen's programs into the schedules of the TF1 group channels would compel it to invest more with independent producers. This would mean, for TF1, increasing its overall investment envelope or reducing its internal purchases from TF1 Production, whose activity would thus be affected, which diminishes its incentives to implement such a strategy.</w:t>
      </w:r>
    </w:p>
    <w:p>
      <w:r>
        <w:t>77. The notifying parties therefore specify that "TF1 has no economic or financial interest in altering Newen's commercial relationships with competing television channels, particularly those of the France Télévisions group" and that "a locking strategy would clearly be contrary to the interests of the notifying parties, which are to ensure the maintenance of profitability and the development of the Newen group." The pact signed between the parties also provides for the maintenance of Newen's current policy in its contractual relationships, guaranteed by Mr. Larue's co-control over FLCP alongside TF1.</w:t>
      </w:r>
    </w:p>
    <w:p>
      <w:r>
        <w:t>78. Therefore, even if the contemplated locking strategy would allow the new entity to increase the advertising revenues of the TF1 group, it seems unlikely that this increase would compensate for the decrease in turnover that Newen would suffer, given the importance of revenues derived from competing free-to-air channels, particularly France Télévisions, and the corresponding increase in TF1's costs.</w:t>
      </w:r>
    </w:p>
    <w:p>
      <w:r>
        <w:t>79. France Télévisions has nevertheless submitted to the file a study regarding the "advertising impact of the transfer of 'Plus Belle la Vie' [to TF1]"24. According to this study, the gain from transferring the program to TF1's screens would be [confidential]. In any case, the study is based on the assumption that the transfer of Plus Belle la Vie would be accompanied by a proportional or greater audience transfer than TF1's current power. France Télévisions believes that such a transfer would be possible, notwithstanding the sequel right it holds. According to France Télévisions, TF1 could indeed implement a strategy to degrade the quality of Plus Belle la Vie, which would lead to [confidential].</w:t>
      </w:r>
    </w:p>
    <w:p>
      <w:r>
        <w:t>80. However, aside from the fact that implementing a strategy to degrade the program seems unlikely, particularly given the contractual provisions mentioned above granting France Télévisions a validation power over the determining elements of production quality, such a scenario is not credible. Indeed, France Télévisions' waiver of its sequel right would imply a significant decrease in the audience of Plus Belle la Vie, thereby diminishing the prospects of gain from such a transfer for TF1. The gain assumptions on which France Télévisions' study is based are therefore unfounded and contradictory to the scenario the group claims.</w:t>
      </w:r>
    </w:p>
    <w:p>
      <w:r>
        <w:t>81. It follows that no element in the file establishes that TF1 would be incentivized to adopt a generalized locking strategy for inputs following the transaction.</w:t>
      </w:r>
    </w:p>
    <w:p>
      <w:r>
        <w:t>c) The effects of a locking strategy</w:t>
      </w:r>
    </w:p>
    <w:p>
      <w:r>
        <w:t>82. Given the previous developments, implementing a locking strategy for access to the market for stock program rights, including EOF fictions, would have little impact. Indeed, Newen's market share is between 10 and 15% in the fragmented market for stock television program rights and in the EOF fictions segment.</w:t>
      </w:r>
    </w:p>
    <w:p>
      <w:r>
        <w:t>83. However, in its response to the market test, the France Télévisions group argued that a locking strategy for Newen's content would pose a particular risk for the group given the importance of its commercial relationship with the producer. Firstly, according to France Télévisions, the transaction would raise a risk of access to sensitive information: TF1 would have access to the strategic data of broadcasters dealing with Newen, particularly that of France Télévisions. Secondly, the transaction could allow TF1 to restrict France Télévisions' access to high-audience potential programs, notably the series Plus Belle la Vie, broadcast on France 3, by appropriating them or exploiting the non-linear rights.</w:t>
      </w:r>
    </w:p>
    <w:p>
      <w:r>
        <w:t>84. Firstly, regarding access to information, it should be noted that the practice whereby certain broadcasters acquire broadcasting rights for programs from production companies owned by competing broadcasters is common in the market, without raising issues related to the confidentiality of sensitive data concerning the commercial or editorial policies of the various channels. The France Télévisions group itself has previously acquired programs from TF1 Production in 2013 and 201425. Three-quarters of the broadcasters who responded to the market test also reported purchases from the TF1 group. For its part, TF1 itself purchases broadcasting rights from</w:t>
      </w:r>
    </w:p>
    <w:p>
      <w:r>
        <w:rPr>
          <w:b/>
        </w:rPr>
        <w:t>[Pages 16–17]</w:t>
      </w:r>
    </w:p>
    <w:p>
      <w:r>
        <w:t>competing groups, notably from the Lagardère group (publisher of the Gulli channel)26 or from Fremantle27, a subsidiary of the RTL group that owns the M6 channel. TF1 co-produces certain programs with Tandem, a subsidiary of Canal Plus28. The purchase of broadcasting rights for audiovisual programs between groups that also have competing broadcasting activities is therefore a common market practice that does not raise any issues related to access to sensitive information. France Télévisions notably argues that the operation would allow TF1 to know the castings, development projects, screenwriters, and production directors, as well as delivery and broadcast dates. However, the elements in the file do not establish to what extent access to such information would allow TF1 to undermine France Télévisions' ability to foster competition. Moreover, concerning existing programs broadcast daily, a large number of these pieces of information are public.</w:t>
      </w:r>
    </w:p>
    <w:p>
      <w:r>
        <w:t>85. Secondly, regarding the risk of implementing a strategy to lock access to certain programs, France Télévisions highlights its contribution to the development of EOF fiction and the non-substitutable nature of the program Plus Belle la Vie, of which the group is neither a co-producer nor holds the trademarks related to this program. France Télévisions also outlines its regulatory constraints, which are heavier than those of other broadcasters, as the group must invest 20% of its turnover in regulated production, of which 75% must be in independent production. The regulation would therefore prevent France Télévisions from compensating for the loss of programs produced by Newen with internally produced programs. Newen provides […]% of France Télévisions' EOF fictions and holds the marketing mandates for them.</w:t>
      </w:r>
    </w:p>
    <w:p>
      <w:r>
        <w:t>86. Contrary to what France Télévisions claims, the results of the market test do not confirm the essential nature of the content produced by Newen. It should be noted, however, that a program financed by a channel for several years and which becomes emblematic of the channel, such as Plus Belle la Vie, could be considered difficult to substitute.</w:t>
      </w:r>
    </w:p>
    <w:p>
      <w:r>
        <w:t>87. However, as explained in the previous developments, the contracts entered into by France Télévisions with Newen, particularly for the acquisition of broadcasting rights for Plus Belle la Vie, include provisions protecting France Télévisions' rights over this content and would hinder the implementation of a lock-in behavior.</w:t>
      </w:r>
    </w:p>
    <w:p>
      <w:r>
        <w:t>88. Furthermore, France Télévisions remains the largest buyer in the rights market, with a purchasing share exceeding 40%. Numerous alternatives to Newen are available in the market, as Newen represents only between 10% and 15% of the stock programs and EOF fictions market. It also emerges from the investigation and public statements from France Télévisions that the group has voluntarily halted negotiations for the acquisition of numerous programs produced by Newen since the announcement of the operation. These contents are therefore not essential for France Télévisions.</w:t>
      </w:r>
    </w:p>
    <w:p>
      <w:r>
        <w:t>89. Finally, since France Télévisions' resources are primarily composed of public fees, the theoretical assumption of a lock-in of programs produced by Newen would have only a very limited effect on its revenues. The group's turnover amounts to […] billion euros, of which approximately […]% ([…] million euros) comes from advertising revenue.</w:t>
      </w:r>
    </w:p>
    <w:p>
      <w:r>
        <w:t>26 For the programs Joséphine Ange Gardien, Clem, Julie Lescaut for example</w:t>
        <w:br/>
        <w:t>27 For the programs Le Juste Prix, Famille en or for example</w:t>
        <w:br/>
        <w:t>28 For the program Crossing Lines for example</w:t>
      </w:r>
    </w:p>
    <w:p>
      <w:r>
        <w:t>The advertising revenues generated from the broadcast of the […] main programs produced by Newen amount to […] million euros, representing […]% of the advertising revenues and only […]% of the group's turnover. The program Plus Belle la Vie, like the other content acquired from Newen, is therefore not at all decisive for the economic balance and competitiveness of France Télévisions.</w:t>
      </w:r>
    </w:p>
    <w:p>
      <w:r>
        <w:t>90. Moreover, the TF1 group, through its president, sent a letter to the Competition Authority dated January 20, 2016, reiterating its intention to develop Newen's activities and certifying that it will not request to modify or amend the rights and contractual conditions granted by Newen to France Télévisions. It also certifies that it will not interfere in any way in the negotiations between Newen and France Télévisions regarding the broadcasting rights of the program Plus Belle la Vie, particularly for the commercialization of broadcasting rights on subscription video-on-demand services. This letter, which the Authority acknowledges, is attached to this decision.</w:t>
      </w:r>
    </w:p>
    <w:p>
      <w:r>
        <w:t>91. Consequently, the present operation is not likely to harm competition through vertical effects on the markets for stock program rights and EOF fictions.</w:t>
      </w:r>
    </w:p>
    <w:p>
      <w:r>
        <w:t>DECIDES</w:t>
      </w:r>
    </w:p>
    <w:p>
      <w:r>
        <w:t>Sole Article: The operation notified under number 15-205 is authorized.</w:t>
      </w:r>
    </w:p>
    <w:p>
      <w:r>
        <w:t>The President,</w:t>
        <w:br/>
        <w:t>Bruno Lasserre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