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https://www.autoritedelaconcurrence.fr/fr/decision-de-controle-des-concentrations/relative-la-prise-de-controle-conjointe-de-la-societe-0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13-DCC-86 of July 10, 2013  </w:t>
        <w:br/>
        <w:t xml:space="preserve">regarding the joint control acquisition of the company Matjac  </w:t>
        <w:br/>
        <w:t xml:space="preserve">by the companies Esen and ITM Entreprises  </w:t>
        <w:br/>
        <w:t xml:space="preserve">The Competition Authority,  </w:t>
        <w:br/>
        <w:t xml:space="preserve">Having regard to the complete notification file submitted to the mergers department on June 18, 2013,  </w:t>
        <w:br/>
        <w:t xml:space="preserve">concerning the joint control acquisition of the company Matjac by the company Esen and the company ITM Entreprises, formalized by a share transfer agreement dated June 13, 2013.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joint control acquisition of the company Matjac, operating a food-dominant retail outlet of 2,846 m² under the Intermarché brand in the city of Genlis (21), by the companies ITM Entreprises and Esen, which is also active in food-dominant retail. It constitutes a concentration operation within the meaning of Article L. 430-1 of the Commercial Code. Given the turnover achieved by the companies concerned, the operation does not have a community dimension. However,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13-098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