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https://www.autoritedelaconcurrence.fr/fr/decision-de-controle-des-concentrations/relative-la-prise-de-controle-conjointe-de-la-societe-1</w:t>
      </w:r>
    </w:p>
    <w:p>
      <w:r>
        <w:t>Pages translated : 4</w:t>
      </w:r>
    </w:p>
    <w:p/>
    <w:p>
      <w:r>
        <w:rPr>
          <w:b/>
        </w:rPr>
        <w:t>[Pages 1–3]</w:t>
      </w:r>
    </w:p>
    <w:p>
      <w:r>
        <w:t xml:space="preserve">FRENCH REPUBLIC  </w:t>
        <w:br/>
        <w:t xml:space="preserve">Decision No. 15-DCC-57 of May 27, 2015  </w:t>
        <w:br/>
        <w:t xml:space="preserve">regarding the joint control of the real estate civil company  </w:t>
        <w:br/>
        <w:t xml:space="preserve">Julie by CNP Assurances and Malakoff Médéric  </w:t>
        <w:br/>
        <w:t xml:space="preserve">The Competition Authority,  </w:t>
        <w:br/>
        <w:t xml:space="preserve">Having regard to the notification file submitted in full to the concentrations service on April 16, 2015,  </w:t>
        <w:br/>
        <w:t xml:space="preserve">regarding the joint control of a real estate complex for office use by the Malakoff Médéric group alongside CNP Assurances, formalized by a share and debt transfer agreement under a suspensive condition dated March 27, 2015, and a draft shareholders' agreement;  </w:t>
        <w:br/>
        <w:t xml:space="preserve">Having regard to Book IV of the Commercial Code relating to price freedom and competition, and in particular its Articles L. 430-1 to L. 430-10;  </w:t>
        <w:br/>
        <w:t xml:space="preserve">Adopts the following decision:  </w:t>
        <w:br/>
        <w:t xml:space="preserve">I. The companies concerned and the operation  </w:t>
        <w:br/>
        <w:t xml:space="preserve">1. CNP Assurances (hereinafter "CNP") is a public limited company governed by the Insurance Code. It is primarily active in the personal insurance sector in France, notably savings, retirement, and risk prevention. CNP also has a real estate portfolio as part of its investment activities. CNP is 34.6% owned by the Caisse des Dépôts et Consignations, 30.7% by the holding Sopassure (which is itself 50.02% owned by La Banque Postale and 49.98% by BPCE), and 0.9% by the State. The remaining share of the capital, 33.7%, is held by the public and employees. It follows from this capital distribution as well as the statutes of CNP that it is not controlled by any of its shareholders.  </w:t>
        <w:br/>
        <w:t>2. Malakoff Médéric is a non-profit social protection group, mutual and paritarian, composed of various entities and at the head of subsidiaries active notably in the sectors of prevention, personal insurance, and portfolio management. The group is thus present in the sectors of complementary retirement management and personal insurance.</w:t>
      </w:r>
    </w:p>
    <w:p>
      <w:r>
        <w:t xml:space="preserve">3. The target of the operation is SCI Julie, currently owned 99.9% by SCI Foncière ELBP, a subsidiary of CNP, and 0.1% by CNP itself. The purpose of SCI Julie is the acquisition and holding of a real estate complex for office use named "Trait d'Union" located at 8 rue François Ory and 9 rue Louis Jeune in Montrouge in the department of Hauts-de-Seine (hereinafter "the target asset"). Its area is 14,038 m². It also includes 304 vehicle parking spaces. The real estate complex is currently leased to [confidential] for a total rent of […] euros excluding taxes or charges.  </w:t>
        <w:br/>
        <w:t xml:space="preserve">4. Under the terms of the transfer agreement dated March 27, 2015, OPCI Vivaldi, a subsidiary of Malakoff Médéric, will acquire 50% of the capital of SCI Julie held until now by SCI Foncière ELBP. Through the equal distribution of capital at 50% between each of the two shareholders and under the terms of their shareholders' agreement, the envisaged operation will result in joint control over the target asset. As it translates into the joint control by CNP and Malakoff Médéric of a building for office use leased to a third party, the operation constitutes a concentration within the meaning of Article L. 430-1 of the Commercial Code.  </w:t>
        <w:br/>
        <w:t xml:space="preserve">5. The companies concerned have together achieved a consolidated worldwide turnover excluding taxes of more than 150 million euros in the last closed financial year (CNP: […] euros for the 2013 financial year; Malakoff Médéric: […] euros for the same financial year). Each of these companies has achieved, in France, a turnover exceeding 50 million euros (CNP: […] euros for the 2013 financial year; Malakoff Médéric: […] euros for the same financial year). The notification thresholds of Article 1, paragraph 2, of Regulation (EC) No. 139/2004 are exceeded, but since each of the concerned companies generates more than two-thirds of its turnover in the European Union in France, the operation does not fall under the jurisdiction of the European Union. This operation remains subject to the provisions of Articles L. 430-3 and following of the Commercial Code relating to economic concentration.  </w:t>
        <w:br/>
        <w:t xml:space="preserve">II. Delimitation of relevant markets  </w:t>
        <w:br/>
        <w:t xml:space="preserve">6. The operation leads to an overlap of activities of CNP, Malakoff Médéric, and the target asset in the real estate sector.  </w:t>
        <w:br/>
        <w:t xml:space="preserve">A. PRODUCT AND SERVICE MARKETS  </w:t>
        <w:br/>
        <w:t xml:space="preserve">7. The decisional practice has considered, while leaving the question open, various segmentations in the real estate sector according to (i) the recipients of the services (individuals or businesses), (ii) the pricing method (free residential real estate, social housing, or assisted intermediate housing), (iii) the type of activity carried out in the premises (offices, commercial premises, and other activity premises), and (iv) the nature of the services or goods offered.  </w:t>
        <w:br/>
        <w:t>1 See in particular the decisions of the Competition Authority No. 14-DCC-176 of December 9, 2014, regarding the joint control of a real estate complex for office use to be constructed by CNP Assurances and Sogécap, and No. 11-DCC-138 of September 30, 2011, regarding the exclusive control by Altarea of Urbat Promotion, as well as the letter from the Minister of Economy, Industry and Employment C2008-79 of August 22, 2008, to the boards of CDC and Eurosic, regarding a concentration in the real estate sector. See also the decision of the European Commission COMP/M.3370 - BNP Paribas / ARI of March 9, 2004.</w:t>
      </w:r>
    </w:p>
    <w:p>
      <w:r>
        <w:t xml:space="preserve">8. Regarding segmentation according to the nature of services or goods offered, the decisional practice has considered distinguishing: i) real estate promotion, which includes construction and sale activities of real estate properties; ii) real estate asset management for own account; iii) real estate asset management for third-party account; iv) property management, which covers the management activities of buildings on behalf of owners and can be segmented between rental management and co-ownership management; v) real estate appraisal; vi) real estate consulting; and vii) intermediation in real estate transactions, for which intermediation in purchase/sale operations is distinguished from intermediation in rental operations.  </w:t>
        <w:br/>
        <w:t xml:space="preserve">9. In this case, the parties to the operation are both present in the market for the holding and management of real estate assets for own account for office use.  </w:t>
        <w:br/>
        <w:t xml:space="preserve">10. However, the question of the exact delimitation of the markets in the real estate sector will be left open, as the conclusions of the competitive analysis remain unchanged regardless of the delimitations retained.  </w:t>
        <w:br/>
        <w:t xml:space="preserve">B. GEOGRAPHICAL MARKETS  </w:t>
        <w:br/>
        <w:t xml:space="preserve">11. The decisional practice has considered that the markets related to the real estate sector are generally of infranational dimension, while leaving the question open. It has also considered a national delimitation for the markets of real estate services intended for businesses when investment operations are carried out by large investors.  </w:t>
        <w:br/>
        <w:t xml:space="preserve">12. In this case, the parties to the operation are both active in the Île-de-France region, in the department of Hauts-de-Seine (92). In this regard, the decisional practice has noted that "the Paris region has particular properties of continuity of urban areas. Indeed, there is a vast, highly urbanized, and homogeneous area covering most of Île-de-France, served by a global transport network; residents are always able to arbitrate between different parts of the region. This substitutability leads to a convergence of price levels. Therefore, the regional level is the most appropriate for competitive analysis."  </w:t>
        <w:br/>
        <w:t xml:space="preserve">13. However, the question of the exact delimitation of the relevant markets can be left open as the conclusions of the competitive analysis remain unchanged regardless of the delimitations retained.  </w:t>
        <w:br/>
        <w:t xml:space="preserve">2 See in particular the decisions No. 14-DCC-176 and No. 11-DCC-138 mentioned above as well as decision No. 10-DCC-13 of January 29, 2010, regarding the exclusive control by Icade S.A. of Compagnie la Lucette SA.  </w:t>
        <w:br/>
        <w:t xml:space="preserve">3 See in particular the decisions of the Competition Authority No. 10-DCC-13 mentioned above and No. 09-DCC-16 of June 22, 2009, regarding the merger between the Caisse d’Épargne and Banque populaire groups, as well as the letter from the Minister of Economy, Finance, and Industry of November 25, 2005, to the board of the Foncière des régions company, regarding a concentration in the real estate sector. See also the decisions of the European Commission COMP/M.3370 - BNP Paribas / ARI of March 9, 2004, and COMP/M.2825 of July 9, 2002, Fortis AG SA / Bernheim-Comofi SA.  </w:t>
        <w:br/>
        <w:t xml:space="preserve">4 See in particular the decisions of the Competition Authority No. 09-DCC-16 mentioned above and No. 10-DCC-112 of September 17, 2010, regarding the joint control by Prédica and Altaréa of Alta Marigny Carré des Soies.  </w:t>
        <w:br/>
        <w:t xml:space="preserve">5 See in particular the decision of the Competition Authority No. 10-DCC-13 mentioned above and the letter from the Minister of Economy, Finance, and Industry C2006-151 of January 10, 2007, to the board of the Société nationale immobilière group, regarding a concentration in the sector of development and management of real estate parks primarily for residential purposes.  </w:t>
        <w:br/>
        <w:t>6 See the decisions of the Competition Authority No. 14-DCC-67 of May 19, 2014, regarding the exclusive control of the Société de la Tour Eiffel by the Mutuelle du Bâtiment et des Travaux Publics, and No. 14-DCC-103 of July 10, 2014, regarding the exclusive control of SIIC de Paris by Eurosic.</w:t>
      </w:r>
    </w:p>
    <w:p>
      <w:r>
        <w:rPr>
          <w:b/>
        </w:rPr>
        <w:t>[Pages 4–4]</w:t>
      </w:r>
    </w:p>
    <w:p>
      <w:r>
        <w:t xml:space="preserve">III. Competitive Analysis  </w:t>
        <w:br/>
        <w:t xml:space="preserve">14. In the market for the holding and management of real estate assets for own account for office use, the combined market shares of the parties will be below [0-5%] regardless of the geographical scope considered.  </w:t>
        <w:br/>
        <w:t xml:space="preserve">15. Furthermore, the market for the management and holding for own account of real estate assets for office use in Île-de-France is characterized by its high fragmentation. Indeed, many operators are active in this market, such as real estate companies, including listed real estate investment companies, as well as insurance companies, investment funds, and banks.  </w:t>
        <w:br/>
        <w:t xml:space="preserve">16. Consequently, the operation is not likely to harm competition in the market for the management of real estate assets for own account for office use in Île-de-France.  </w:t>
        <w:br/>
        <w:t xml:space="preserve">DECIDES  </w:t>
        <w:br/>
        <w:t xml:space="preserve">Sole Article: The operation notified under number 15-055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