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https://www.autoritedelaconcurrence.fr/fr/decision-de-controle-des-concentrations/relative-la-prise-de-controle-conjointe-de-la-societe-isoma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18-DCC-46 of March 30, 2018  </w:t>
        <w:br/>
        <w:t xml:space="preserve">regarding the joint control acquisition of the company Isoma by the  </w:t>
        <w:br/>
        <w:t xml:space="preserve">company ITM Entreprises and the Peluhet, Balaguer, and Estival consortium  </w:t>
        <w:br/>
        <w:t xml:space="preserve">The Competition Authority,  </w:t>
        <w:br/>
        <w:t xml:space="preserve">Having regard to the complete notification file sent to the mergers department on February 28, 2018,  </w:t>
        <w:br/>
        <w:t xml:space="preserve">concerning the joint control acquisition of the company Isoma by the company ITM Entreprises and the  </w:t>
        <w:br/>
        <w:t xml:space="preserve">Peluhet, Balaguer, and Estival consortium, formalized by a share transfer agreement dated December 21,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Isoma, operating a  </w:t>
        <w:br/>
        <w:t xml:space="preserve">commercial establishment primarily focused on food, with an area of 5,494 m², under the brand  </w:t>
        <w:br/>
        <w:t xml:space="preserve">"Intermarché" in the city of Le Cendre (63), by the company ITM Entreprises and the Peluhet, Balaguer, and Estival consortium. It constitutes a concentration operation within the meaning of Article L. 430-1 of the Commercial Code. Given the turnover generated by the companies involved, the operation does not fall under the jurisdiction of the European Union. However, the control thresholds mentioned in point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18-045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