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https://www.autoritedelaconcurrence.fr/fr/decision-de-controle-des-concentrations/relative-la-prise-de-controle-conjointe-de-la-societe-les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REPUBLIC OF FRANCE  </w:t>
        <w:br/>
        <w:t xml:space="preserve">Decision No. 13-DCC-66 of June 19, 2013  </w:t>
        <w:br/>
        <w:t xml:space="preserve">regarding the joint control acquisition of the company Les Romains by  </w:t>
        <w:br/>
        <w:t xml:space="preserve">the companies Beaurique and ITM Entreprises  </w:t>
        <w:br/>
        <w:t xml:space="preserve">The Competition Authority,  </w:t>
        <w:br/>
        <w:t xml:space="preserve">Having regard to the complete notification file submitted to the mergers department on May 23, 2013,  </w:t>
        <w:br/>
        <w:t xml:space="preserve">concerning the joint control acquisition of the company Les Romains by the companies Beaurique and  </w:t>
        <w:br/>
        <w:t xml:space="preserve">ITM Entreprises.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of the company Les Romains,  </w:t>
        <w:br/>
        <w:t xml:space="preserve">operating a food-dominant retail outlet of 2,382 m² under the Intermarché brand in the town of Trélissac (24), by the company Beaurique, which is also active in food-dominant retail, alongside ITM Entreprises. It constitutes a concentration operation within the meaning of Article L. 430-1 of the Commercial Code. Given the turnover achieved by the companies concerned, the operation does not have a community dimension. However, the retail control thresholds mentioned in point II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13-079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