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https://www.autoritedelaconcurrence.fr/fr/decision-de-controle-des-concentrations/relative-la-prise-de-controle-conjointe-de-vertical-bridge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21-DCC-168 of September 23, 2021  </w:t>
        <w:br/>
        <w:t xml:space="preserve">regarding the joint control acquisition of Vertical Bridge Reit by  </w:t>
        <w:br/>
        <w:t xml:space="preserve">DigitalBridge and the Caisse de Dépôt et Placement du Québec  </w:t>
        <w:br/>
        <w:t xml:space="preserve">The Competition Authority,  </w:t>
        <w:br/>
        <w:t xml:space="preserve">Having regard to the complete notification file submitted to the mergers department on September 7, 2021,  </w:t>
        <w:br/>
        <w:t xml:space="preserve">concerning the joint control acquisition of the company Vertical Bridge Reit  </w:t>
        <w:br/>
        <w:t xml:space="preserve">(hereinafter "Vertical Bridge") by the company DigitalBridge and the Caisse de Dépôt et Placement  </w:t>
        <w:br/>
        <w:t xml:space="preserve">du Québec (hereinafter "CDPQ"), formalized by a purchase agreement dated August 8,  </w:t>
        <w:br/>
        <w:t xml:space="preserve">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DigitalBridge and the  </w:t>
        <w:br/>
        <w:t xml:space="preserve">CDPQ of the company Vertical Bridge, active in the market for the provision of hosting services  </w:t>
        <w:br/>
        <w:t xml:space="preserve">on passive infrastructures. It constitutes a concentration operation  </w:t>
        <w:br/>
        <w:t xml:space="preserve">within the meaning of Article L. 430-1 of the Commercial Code. Given the turnover generated  </w:t>
        <w:br/>
        <w:t xml:space="preserve">by the concerned companies, the operation does not fall under the jurisdiction of the European  </w:t>
        <w:br/>
        <w:t xml:space="preserve">Union. On the other hand, the control thresholds mentioned in 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21-187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