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https://www.autoritedelaconcurrence.fr/fr/decision-de-controle-des-concentrations/relative-la-prise-de-controle-conjointe-du-groupe-ect-par</w:t>
      </w:r>
    </w:p>
    <w:p>
      <w:r>
        <w:t>Pages translated : 2</w:t>
      </w:r>
    </w:p>
    <w:p/>
    <w:p>
      <w:r>
        <w:rPr>
          <w:b/>
        </w:rPr>
        <w:t>[Pages 1–2]</w:t>
      </w:r>
    </w:p>
    <w:p>
      <w:r>
        <w:t xml:space="preserve">FRENCH REPUBLIC  </w:t>
        <w:br/>
        <w:t xml:space="preserve">Decision No. 11-DCC-132 of August 30, 2011  </w:t>
        <w:br/>
        <w:t>regarding the joint control of the ECT group by Chequers Partners</w:t>
      </w:r>
    </w:p>
    <w:p>
      <w:r>
        <w:t>The Competition Authority,</w:t>
      </w:r>
    </w:p>
    <w:p>
      <w:r>
        <w:t xml:space="preserve">Having regard to the complete notification file submitted to the mergers department on August 4, 2011, concerning the joint control of the ECT group by the company Chequers Partners alongside the company AuGefi;  </w:t>
        <w:br/>
        <w:t>Having regard to Book IV of the Commercial Code relating to the freedom of prices and competition, and in particular its Articles L. 430-1 to L. 430-7;</w:t>
      </w:r>
    </w:p>
    <w:p>
      <w:r>
        <w:t>Adopts the following decision:</w:t>
      </w:r>
    </w:p>
    <w:p>
      <w:r>
        <w:t>1. Chequers Partners is a portfolio management company, 100% owned by Chequers Capital Partners, specializing in LBO operations. The notified operation consists of the joint control of the companies Financière OIE and Foncière SFAT, constituting the ECT group, active in the inert waste treatment sector, by the investment fund Chequers Partners alongside the company AuGefi. The operation constitutes a concentration operation within the meaning of Article L. 430-1 of the Commercial Code. Given the turnover achieved by the companies concerned, the operation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11-0143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