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https://www.autoritedelaconcurrence.fr/fr/decision-de-controle-des-concentrations/relative-la-prise-de-controle-conjointe-dun-actif</w:t>
      </w:r>
    </w:p>
    <w:p>
      <w:r>
        <w:t>Pages translated : 5</w:t>
      </w:r>
    </w:p>
    <w:p/>
    <w:p>
      <w:r>
        <w:rPr>
          <w:b/>
        </w:rPr>
        <w:t>[Pages 1–3]</w:t>
      </w:r>
    </w:p>
    <w:p>
      <w:r>
        <w:t xml:space="preserve">FRENCH REPUBLIC  </w:t>
        <w:br/>
        <w:t xml:space="preserve">Decision No. 14-DCC-46 of April 1, 2014  </w:t>
        <w:br/>
        <w:t>regarding the joint control of an industrial real estate asset in Moselle by Norges Bank and Prologis</w:t>
      </w:r>
    </w:p>
    <w:p>
      <w:r>
        <w:t xml:space="preserve">The Competition Authority,  </w:t>
        <w:br/>
        <w:t xml:space="preserve">Having regard to the notification file submitted in full to the merger service on March 5, 2014, regarding the exclusive control by Prologis European Logistics Partners of an industrial real estate asset in Moselle, formalized by a promise of sale signed on February 27, 2014;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NBIM Nerva is a company controlled by Norges Bank, the central bank of Norway. In addition to its role as a central bank, Norges Bank is also active in asset management. In this capacity, it holds and manages investments for the Government Pension Fund. Norges Bank holds and manages, for the Government Pension Fund, real estate investments notably in France, the United Kingdom, Switzerland, and Germany. In France, Norges Bank* has created, on the one hand, a subsidiary with Axa, and on the other hand, a subsidiary with Generali, both holding real estate in the Paris region.  </w:t>
        <w:br/>
        <w:t>* Correction of a material error.</w:t>
      </w:r>
    </w:p>
    <w:p>
      <w:r>
        <w:t>2. Prologis Holding is an investment vehicle controlled by Prologis Inc. (hereinafter "Prologis") that manages and develops real estate properties, both directly and through other companies, particularly in America, Europe, and Asia. Prologis includes two sectors: (i) direct holding and (ii) investment management. The direct holding activity consists of the acquisition and leasing of real estate properties. The investment management activity involves managing the long-term investments of real estate funds and companies owned by Prologis. In this business sector, Prologis globally manages several private funds composed of industrial real estate assets.</w:t>
      </w:r>
    </w:p>
    <w:p>
      <w:r>
        <w:t>3. NBIM Nerva and Prologis jointly control Prologis European Logistics Partners (hereinafter "PELP")1 whose activity consists of the acquisition and/or holding of industrial real estate assets on behalf of its two parent companies. PELP has no commercial autonomy, nor any own resources to act independently in the market and thus constitutes a mere acquisition vehicle for its parents.</w:t>
      </w:r>
    </w:p>
    <w:p>
      <w:r>
        <w:t>4. The target industrial real estate asset of this operation (hereinafter "the Target Property") consists of a building with a total area of […] m2 divided into […] warehouses and located in Woippy in the Moselle department. The Target Property is owned by SCI Woippy Metz Lorraine, which belongs to the Schroder group.</w:t>
      </w:r>
    </w:p>
    <w:p>
      <w:r>
        <w:t>5. The notified operation, formalized by a promise of sale signed on February 27, 2014, consists of the acquisition by PELP of the Target Property currently held by SCI Woippy Metz Lorraine. As it results in the joint control of the Target Property by Prologis and Norges Bank, the operation constitutes a concentration within the meaning of Article L. 430-1 of the Commercial Code.</w:t>
      </w:r>
    </w:p>
    <w:p>
      <w:r>
        <w:t>6. The concerned companies together achieve a total worldwide turnover of more than 150 million euros (Prologis: […] euros for the fiscal year ending December 31, 2013; Norges Bank: […] euros for the same fiscal year; Target Property: […] euros for the same fiscal year). In France, these entities achieved a turnover exceeding 50 million euros (Prologis: […] euros for the fiscal year ending December 31, 2013; Norges Bank: […] euros for the same fiscal year; Target Property: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PRODUCT AND SERVICE MARKETS  </w:t>
        <w:br/>
        <w:t>7. The competition authorities have considered, while leaving the question open, various segmentations in the real estate services sector2 according to (i) the recipients of the services (individuals or businesses), (ii) the method of price setting (free residential real estate and subsidized social or intermediate housing3), (iii) the type of activity conducted on the premises (offices, commercial premises, and other activity premises such as warehouses, hotels4), and (iv) the nature of the services or goods offered5.</w:t>
      </w:r>
    </w:p>
    <w:p>
      <w:r>
        <w:t xml:space="preserve">8. Regarding segmentation according to the nature of services or goods offered, decision-making practice has considered the distinction between:  </w:t>
        <w:br/>
        <w:t xml:space="preserve">(i) real estate development, which includes construction and sale activities of real estate properties;  </w:t>
        <w:br/>
        <w:t xml:space="preserve">(ii) real estate asset management for own account;  </w:t>
        <w:br/>
        <w:t xml:space="preserve">(iii) real estate asset management for third-party account;  </w:t>
        <w:br/>
        <w:t xml:space="preserve">(iv) real estate administration, which covers management activities of real estate properties on behalf of owners and can be segmented between rental management and co-ownership management;  </w:t>
        <w:br/>
        <w:t xml:space="preserve">(v) real estate expertise;  </w:t>
        <w:br/>
        <w:t xml:space="preserve">(vi) real estate consulting;  </w:t>
        <w:br/>
        <w:t>(vii) intermediation in real estate transactions, within which a distinction can be made between the sale and leasing of properties6.</w:t>
      </w:r>
    </w:p>
    <w:p>
      <w:r>
        <w:t>9. There is no need to challenge these segmentations in the context of the present operation.</w:t>
      </w:r>
    </w:p>
    <w:p>
      <w:r>
        <w:t xml:space="preserve">10. In this case, the target asset consists of a building used as a warehouse. Furthermore, PELP holds […] warehouses in France and Prologis directly holds […]. Outside of PELP's activity, Norges Bank holds, for its part, real estate properties used for office and commercial purposes located in Ile-de-France. The parties to the operation are therefore simultaneously active in the markets for the holding and management of real estate assets for their own account aimed at businesses, and their activities particularly overlap regarding the holding and management of warehouses.  </w:t>
        <w:br/>
        <w:t xml:space="preserve">1 NBIM Nerva and Prologis Holding each own 50% of the capital of PELP and make strategic decisions regarding its activity unanimously among the partners.  </w:t>
        <w:br/>
        <w:t xml:space="preserve">2 See in particular the decision of the Competition Authority No. 13-DCC-26 of March 1 regarding the joint control by NBIM Nerva and Prologis PELP Holding of assets held by Prologis European Logistics Partners; the decision of the Competition Authority No. 11-DCC-178 of December 13, 2011, regarding the joint control by the Caisse des Dépôts et Consignations and CNP Assurances of the company Malthazar SA; the decision of the Competition Authority No. 10-DCC-112 of September 17, 2010, regarding the joint control by Prédica and Altaréa of the company Alta Marigny Carré de Soi; the letter from the Minister of Economy, Industry and Employment C2008-79 of August 22, 2008, to the legal advisors of the companies CDC and Eurosic, regarding a concentration in the real estate sector; the decision of the European Commission of March 9, 2004, No. COMP/M.3370, BNP Paribas / ARI.  </w:t>
        <w:br/>
        <w:t xml:space="preserve">3 See the letter from the Minister of Economy, Finance and Industry C2002-112 of November 8, 2002, to the legal advisors of the company Gecina regarding a concentration in the real estate assets sector and the letter from the Minister of Economy, Finance and Industry C2005-42 of May 27, 2005, to the legal advisor of the company Caisse nationale des caisses d’épargne regarding a concentration in the real estate sector.  </w:t>
        <w:br/>
        <w:t xml:space="preserve">4 See the decision No. 10-DCC-13 of January 29, 2010, regarding the exclusive control by Icade S.A. of Compagnie la Lucette S.A.; the letter from the Minister of Economy, Finance and Industry C2003-66 of April 17, 2003, to the legal advisors of the company CBRE Holding Inc. regarding a concentration in the real estate services sector and the decision of the European Commission of August 30, 2002, COMP/M.2863, Morgan Stanley/Olivetti/Telecom Italia/Tiglio.  </w:t>
        <w:br/>
        <w:t xml:space="preserve">5 See in particular the decision of the Competition Authority No. 13-DCC-130 regarding the exclusive control of Foncière Paris France by Cofitem-Cofimur; the letter from the Minister of Economy, Finance and Industry C2005-126 of January 25, 2006, to the legal advisors of the company Perexia regarding a concentration in the real estate services sector and the aforementioned decision of the European Commission COMP/M.3370.  </w:t>
        <w:br/>
        <w:t>6 See the letter from the Minister of Economy, Finance and Industry C2005-126 mentioned above.</w:t>
      </w:r>
    </w:p>
    <w:p>
      <w:r>
        <w:rPr>
          <w:b/>
        </w:rPr>
        <w:t>[Pages 4–5]</w:t>
      </w:r>
    </w:p>
    <w:p>
      <w:r>
        <w:t>B. GEOGRAPHICAL DELIMITATION OF MARKETS</w:t>
      </w:r>
    </w:p>
    <w:p>
      <w:r>
        <w:t>11. With the exception of certain markets where investment operations are carried out by large investors for whom decision-making practice has considered a national dimension, the French and European competition authorities have considered, while leaving the question open, that markets related to the real estate sector are of a local dimension.</w:t>
      </w:r>
    </w:p>
    <w:p>
      <w:r>
        <w:t>12. More specifically, regarding the holding and management of warehouses, the Competition Authority has considered, while leaving the definition open, a geographical market of departmental and regional dimension for the Ile-de-France due to the particular properties of continuity of urban areas that characterize it, and of departmental dimension for the province.</w:t>
      </w:r>
    </w:p>
    <w:p>
      <w:r>
        <w:t>13. In this case, the target property is located near Metz in the Moselle department. Furthermore, PELP and Prologis each own a [confidential] warehouse in Moselle. The operation will therefore be analyzed at the level of the Moselle department and more specifically the Metz agglomeration.</w:t>
      </w:r>
    </w:p>
    <w:p>
      <w:r>
        <w:t>14. The question of the exact delimitation of the relevant markets may, however, be left open in this decision, as the conclusions of the competitive analysis remain unchanged regardless of the delimitations retained.</w:t>
      </w:r>
    </w:p>
    <w:p>
      <w:r>
        <w:t>III. Competitive Analysis</w:t>
      </w:r>
    </w:p>
    <w:p>
      <w:r>
        <w:t>15. In the Moselle department, the notifying party estimates the volume size of the market for the holding and management of warehouses for own account intended for businesses at […] m2. The target property has an area of […] m2 and is located approximately […] km from the warehouses owned in Moselle by PELP ([…] m2) and by Prologis ([…] m2). Following the operation, the notifying parties estimate that the market share of the new entity in volume will remain low, around [0-5]% (Target property: [0-5]%; PELP: [0-5]%; Prologis: [0-5]%).</w:t>
      </w:r>
    </w:p>
    <w:p>
      <w:r>
        <w:t>16. Furthermore, the new entity will continue to face several institutional competitors that own warehouses located near Metz. The notifying parties cite M&amp;G, which owns approximately […] km from Metz […] buildings with a total area of […] m2 (approximately [0-5]% market share in Moselle), Axa, which owns approximately […] km from Metz […] buildings with a total area of […] m2 (approximately [0-5]%), AEW Europe, which owns approximately […] km from Metz […] buildings with a total area of […] m2 (approximately [0-5]%), and Boris, which owns approximately […] km from Metz […] buildings with a total area of […] m2. Finally, they note that many non-institutional investors will remain in this market for which there is, however, no public data available.</w:t>
      </w:r>
    </w:p>
    <w:p>
      <w:r>
        <w:t>17. Therefore, this operation is not likely to harm competition through horizontal effects on the market for the holding and management of warehouses for own account in the Moselle department.</w:t>
      </w:r>
    </w:p>
    <w:p>
      <w:r>
        <w:t>DECIDES</w:t>
      </w:r>
    </w:p>
    <w:p>
      <w:r>
        <w:t>Sole Article: The operation notified under number 13-230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