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https://www.autoritedelaconcurrence.fr/fr/decision-de-controle-des-concentrations/relative-la-prise-de-controle-conjointe-dun-ensemble</w:t>
      </w:r>
    </w:p>
    <w:p>
      <w:r>
        <w:t>Pages translated : 5</w:t>
      </w:r>
    </w:p>
    <w:p/>
    <w:p>
      <w:r>
        <w:rPr>
          <w:b/>
        </w:rPr>
        <w:t>[Pages 1–3]</w:t>
      </w:r>
    </w:p>
    <w:p>
      <w:r>
        <w:t xml:space="preserve">FRENCH REPUBLIC  </w:t>
        <w:br/>
        <w:t xml:space="preserve">Decision No. 14-DCC-176 of December 9, 2014  </w:t>
        <w:br/>
        <w:t>regarding the joint control of a real estate complex for office use to be constructed by CNP Assurances and Sogécap</w:t>
      </w:r>
    </w:p>
    <w:p>
      <w:r>
        <w:t xml:space="preserve">The Competition Authority,  </w:t>
        <w:br/>
        <w:t xml:space="preserve">Having regard to the notification file submitted in full to the mergers service on November 7, 2014, regarding the joint control of a real estate complex for office use to be constructed by CNP Assurances and Sogécap, formalized by a bilateral promise of sale and a draft deed of sale dated October 20, 2014;  </w:t>
        <w:br/>
        <w:t xml:space="preserve">Having regard to Book IV of the Commercial Code relating to price freedom and competition, and in particular its Articles L. 430-1 to L. 430-10;  </w:t>
        <w:br/>
        <w:t>Adopts the following decision:</w:t>
      </w:r>
    </w:p>
    <w:p>
      <w:r>
        <w:t xml:space="preserve">I. The concerned companies and the operation  </w:t>
        <w:br/>
        <w:t xml:space="preserve">1. CNP Assurances (hereinafter "CNP") is a public limited company governed by the Insurance Code. It is primarily active in the personal insurance sector in France, notably in savings, retirement, and risk prevention. CNP also has a real estate portfolio as part of its investment activities. CNP is 34.6% owned by the Caisse des Dépôts et Consignations, 30.7% by the holding company Sopassure (which is itself 50.02% owned by La Banque Postale and 49.98% by BPCE), and 0.9% by the State. The remaining share of the capital, 33.7%, is held by the public and employees. It follows from this distribution of capital as well as the statutes of CNP that it is not controlled exclusively or jointly by any of its shareholders.  </w:t>
        <w:br/>
        <w:t xml:space="preserve">2. Société Générale is a European financial services group active in 85 countries. Its subsidiary Sogécap specializes in the insurance sector*. Under the Société Générale Insurance brand, Sogécap provides individuals, professionals, and businesses with prevention and savings products.  </w:t>
        <w:br/>
        <w:t>* Correction of a material error.</w:t>
      </w:r>
    </w:p>
    <w:p>
      <w:r>
        <w:t xml:space="preserve">3. The target of the operation is a real estate complex to be constructed located on Rue des Deux Gares in Rueil-Malmaison in the department of Hauts-de-Seine, referred to as the "West Building"1 (hereinafter "the real estate complex"). Its gross floor area is 15,744 m² and its usable area is 15,066 m². It also includes 259 vehicle parking spaces and 40 two-wheeler parking spaces. On April 14 and July 18, 2014, it was the subject of two leases in the future state of completion with [confidential] and [confidential], respectively, for a term of […] or […] firm years, for a total net rent amount of […] euros excluding taxes or charges. The real estate complex is therefore fully pre-leased.  </w:t>
        <w:br/>
        <w:t xml:space="preserve">4. Under the terms of the bilateral promise of sale and the draft deed of sale dated October 20, 2014, the acquisition of the real estate complex will be carried out through the SCI Green Rueil, created to proceed with the acquisition of properties2 by CNP and Sogécap. By the equal distribution of capital at 50% between each of the two shareholders and under the terms of their shareholders' agreement, the contemplated operation will result in joint control over the real estate complex. As it translates into the joint control by CNP and Sogécap of a building for office use leased to third parties, the operation constitutes a concentration within the meaning of Article L. 430-1 of the Commercial Code.  </w:t>
        <w:br/>
        <w:t>5. The concerned companies together achieved a consolidated turnover excluding taxes on a global scale of more than 150 million euros in the last closed financial year (CNP: […] euros for the 2013 financial year; Société Générale: […] euros for the same financial year). Each of these companies achieved, in France, a turnover exceeding 50 million euros (CNP: […] euros for the 2013 financial year; Société Générale: […] euros for the same financial year). The notification thresholds of Article 1 paragraph 2 of Regulation (EC) 139/2004 are exceeded, but since each of the concerned companies generates more than two-thirds of its turnover in the European Union in France, the operation does not fall under the jurisdiction of the European Union. This operation is therefore subject to the provisions of Articles L. 430-3 and following of the Commercial Code relating to economic concentration.</w:t>
      </w:r>
    </w:p>
    <w:p>
      <w:r>
        <w:t xml:space="preserve">II. Delimitation of the relevant markets  </w:t>
        <w:br/>
        <w:t xml:space="preserve">6. The operation leads to an overlap of activities of CNP, Sogécap, and the real estate complex in the real estate sector.  </w:t>
        <w:br/>
        <w:t xml:space="preserve">A. PRODUCT AND SERVICE MARKETS  </w:t>
        <w:br/>
        <w:t xml:space="preserve">7. Decision-making practice has considered, while leaving the question open, various segmentations in the real estate sector3 according to (i) the recipients of the services (individuals or businesses), (ii) the method of price determination (free residential real estate, social housing or assisted intermediate housing), (iii) the type of activity conducted in the premises (offices, commercial premises, and other activity premises), and (iv) the nature of the services or goods offered.  </w:t>
        <w:br/>
        <w:t xml:space="preserve">8. Regarding segmentation according to the nature of the services or goods offered, decision-making practice4 has considered distinguishing: i) real estate development, which includes construction and sale activities of real estate; ii) real estate asset management for own account; iii) real estate asset management for third-party account; iv) real estate administration, which covers the management activities of buildings on behalf of owners and can be segmented between rental management and property management; v) real estate appraisal; vi) real estate consulting; and vii) intermediation in real estate transactions, for which intermediation in purchase/sale operations is distinguished from intermediation in rental operations.  </w:t>
        <w:br/>
        <w:t xml:space="preserve">9. In this case, the parties to the operation are simultaneously present in the market for the holding and management of real estate assets for own account for office use.  </w:t>
        <w:br/>
        <w:t xml:space="preserve">10. The question of the exact delineation of the markets in the real estate sector will, however, be left open, as the conclusions of the competitive analysis remain unchanged regardless of the delineations chosen.  </w:t>
        <w:br/>
        <w:t xml:space="preserve">B. GEOGRAPHICAL MARKETS  </w:t>
        <w:br/>
        <w:t xml:space="preserve">11. Decision-making practice5 has considered that the markets related to the real estate sector are generally of sub-national dimension, while leaving the question open. It has also considered a national delineation for the markets of real estate services intended for businesses when investment operations are carried out by large investors6.  </w:t>
        <w:br/>
        <w:t xml:space="preserve">12. In this case, the parties to the operation are simultaneously active in the Île-de-France region. Decision-making practice7 has noted that "the Paris region has particular properties of continuity of urban areas. Indeed, there is a vast, highly urbanized, and homogeneous area covering most of Île-de-France, served by a comprehensive transport network; residents are always able to arbitrate between different parts of the region. This substitutability leads to a convergence of price levels. Therefore, the regional level is the most appropriate for competitive analysis"8.  </w:t>
        <w:br/>
        <w:t xml:space="preserve">13. The parties to the operation being simultaneously active in the market for the management for own account of real estate assets for office use in the agglomeration of Rueil-Malmaison.  </w:t>
        <w:br/>
        <w:t xml:space="preserve">4 See in particular the decisions of the Competition Authority No. 11-DCC-138 and No. 10-DCC-13 mentioned above.  </w:t>
        <w:br/>
        <w:t xml:space="preserve">5 See in particular the decisions of the Competition Authority No. 10-DCC-13 of January 29, 2010, regarding the acquisition by Icade SA of Compagnie La Lucette SA and No. 09-DCC-16 of June 22, 2009, regarding the merger between the Caisse d’Épargne and Banque Populaire groups, as well as the letter from the Minister of Economy, Finance, and Industry dated November 25, 2005, to the advisors of the company Foncière des Régions, regarding a concentration in the real estate sector and the decision of the European Commission COMP/M. 2825 of July 9, 2002, Fortis AG SA / Bernheim-Comofi SA.  </w:t>
        <w:br/>
        <w:t xml:space="preserve">6 See in particular the decisions of the Competition Authority No. 09-DCC-16 mentioned above and No. 10-DCC-112 of September 17, 2010, regarding the joint control by Prédica and Altaréa of the company Alta Marigny Carré des Soies.  </w:t>
        <w:br/>
        <w:t xml:space="preserve">7 See in particular the decision of the Competition Authority No. 10-DCC-13 mentioned above and the letter from the Minister of Economy, Finance, and Industry C2006-151 of January 10, 2007, to the council of the Société Nationale Immobilière group, regarding a concentration in the sector of development and management of real estate parks primarily for residential purposes.  </w:t>
        <w:br/>
        <w:t>8 See the decisions of the Competition Authority No. 14-DCC-67 of May 19, 2014, regarding the exclusive control of the Société de la Tour Eiffel by the Mutuelle du Bâtiment et des Travaux Publics and No. 14-DCC-103 of July 10, 2014, regarding the exclusive control of SIIC de Paris by Eurosic.</w:t>
      </w:r>
    </w:p>
    <w:p>
      <w:r>
        <w:rPr>
          <w:b/>
        </w:rPr>
        <w:t>[Pages 4–5]</w:t>
      </w:r>
    </w:p>
    <w:p>
      <w:r>
        <w:t xml:space="preserve">in the department of Hauts-de-Seine (92), they have provided their market share at the regional, departmental, and agglomeration levels.  </w:t>
        <w:br/>
        <w:t xml:space="preserve">14. The question of the exact delineation of the relevant markets can, however, be left open because the conclusions of the competitive analysis remain unchanged regardless of the delineation chosen.  </w:t>
        <w:br/>
        <w:t xml:space="preserve">III. Competitive Analysis  </w:t>
        <w:br/>
        <w:t xml:space="preserve">15. In the market for the holding and management of real estate assets for own account for office use, the positions of the parties are presented in the following table, according to the different axes of geographical segmentation considered by decision-making practice:  </w:t>
        <w:br/>
        <w:t xml:space="preserve">Overall  </w:t>
        <w:br/>
        <w:t xml:space="preserve">CNP Société Générale Total  </w:t>
        <w:br/>
        <w:t xml:space="preserve">real estate  </w:t>
        <w:br/>
        <w:t xml:space="preserve">National territory [0-5] % [0-5] % [0-5] % [0-5] %  </w:t>
        <w:br/>
        <w:t xml:space="preserve">Île-de-France region [0-5] % [0-5] % [0-5] % [0-5] %  </w:t>
        <w:br/>
        <w:t xml:space="preserve">Department of Hauts-de-Seine [0-5] % [0-5] % [0-5] % [0-5] %  </w:t>
        <w:br/>
        <w:t xml:space="preserve">Agglomeration of Rueil-Malmaison [0-5] % [0-5] % [0-5] % [5-10] %  </w:t>
        <w:br/>
        <w:t xml:space="preserve">16. At the end of the operation, the market share of the parties will remain moderate, below [5-10] %, regardless of the geographical definition chosen.  </w:t>
        <w:br/>
        <w:t xml:space="preserve">17. The market for the management and holding for own account of real estate assets for office use in Île-de-France is also characterized by its high fragmentation. Indeed, many operators are active in this market, such as real estate companies, including listed real estate investment companies, as well as insurance companies, investment funds, and banks.  </w:t>
        <w:br/>
        <w:t xml:space="preserve">18. Consequently, the operation is not likely to harm competition in the market for the management of real estate assets for own account for office use in Île-de-France.  </w:t>
        <w:br/>
        <w:t xml:space="preserve">DECIDES  </w:t>
        <w:br/>
        <w:t xml:space="preserve">Single Article: The operation notified under number 14-179 is authorized.  </w:t>
        <w:br/>
        <w:t xml:space="preserve">The President,  </w:t>
        <w:br/>
        <w:t xml:space="preserve">Bruno Lasserre  </w:t>
        <w:br/>
        <w:t>© Autorité de la concurrence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