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https://www.autoritedelaconcurrence.fr/fr/decision-de-controle-des-concentrations/relative-la-prise-de-controle-conjointe-dune-societe-civile</w:t>
      </w:r>
    </w:p>
    <w:p>
      <w:r>
        <w:t>Pages translated : 4</w:t>
      </w:r>
    </w:p>
    <w:p/>
    <w:p>
      <w:r>
        <w:rPr>
          <w:b/>
        </w:rPr>
        <w:t>[Pages 1–3]</w:t>
      </w:r>
    </w:p>
    <w:p>
      <w:r>
        <w:t xml:space="preserve">FRENCH REPUBLIC  </w:t>
        <w:br/>
        <w:t xml:space="preserve">Decision No. 12-DCC-156 of November 12, 2012  </w:t>
        <w:br/>
        <w:t xml:space="preserve">regarding the joint control of a real estate civil company  </w:t>
        <w:br/>
        <w:t xml:space="preserve">for the acquisition of a building for office use by CNP  </w:t>
        <w:br/>
        <w:t>Assurances and Sogecap</w:t>
      </w:r>
    </w:p>
    <w:p>
      <w:r>
        <w:t xml:space="preserve">The Competition Authority,  </w:t>
        <w:br/>
        <w:t xml:space="preserve">Having regard to the notification file submitted in full to the concentrations service on October 5, 2012,  </w:t>
        <w:br/>
        <w:t xml:space="preserve">regarding the joint control of a real estate civil company for the acquisition of a building for office use by CNP Assurances and Sogecap, formalized by a bilateral promise of sale under suspensive conditions dated September 28, 2012, and a draft shareholders' agreement;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CNP Assurances (hereinafter "CNP") is a public limited company governed by the Insurance Code. It is primarily active in the personal insurance sector in France, notably in savings, retirement, and risk prevention. CNP also has a real estate portfolio as part of its investment activities. CNP is 40.54% owned by the Caisse des Dépôts et Consignations, 35.96% by the holding company Sopassure (which is itself 50.1% owned by La Banque Postale and 49.9% by BPCE), and 1.10% by the State. The remaining share of the capital, 22.39%, is held by the public and employees. It follows from this capital distribution as well as the statutes of CNP that it is not controlled exclusively or jointly by any of its shareholders.  </w:t>
        <w:br/>
        <w:t>2. Société Générale is a European financial services group active in 85 countries. Its subsidiary Sogecap specializes in the banking and insurance sectors. Under the brand Société Générale Insurance, Sogecap offers individuals, professionals, and businesses products for prevention and savings.</w:t>
      </w:r>
    </w:p>
    <w:p>
      <w:r>
        <w:t xml:space="preserve">3. The target of the operation is a real estate complex to be constructed located on Rue des Deux Gares in Rueil-Malmaison in the department of Hauts-de-Seine. Its gross floor area is 19,290 m² and its usable area is 18,283.40 m². It also includes a bicycle storage area of 66.6 m², 321 vehicle parking spaces, and 83 two-wheeler parking spaces. On April 4, 2012, it was subject to a lease in the state of future completion, for a duration of [confidential], with Unilever, for a total net rent of […] euros excluding taxes or charges.  </w:t>
        <w:br/>
        <w:t xml:space="preserve">4. Upon completion of the operation formalized by the bilateral promise of sale dated September 28, 2012, the target will be jointly owned by CNP and Sogecap. The acquisition of the building will be carried out through SCI Green Rueil, created for this purpose, and equally owned by CNP and Sogecap, with management entrusted to the simplified joint-stock company DTZ Asset Management ("DTZ"). Through the equal capital distribution of 50% between each of the two shareholders, and under the terms of the shareholders' agreement concluded between CNP and Sogecap, the envisaged operation will result in joint control over the building. As it translates into the joint control of a real estate civil company for the acquisition of a building for office use leased to third parties, the operation constitutes a concentration within the meaning of Article L. 430-1 of the Commercial Code.  </w:t>
        <w:br/>
        <w:t>5. The concerned companies together achieved a consolidated turnover excluding taxes of over 150 million euros in the last closed financial year (CNP: […] euros for the 2011 financial year; Société Générale: […] euros for the same financial year). Each of these companies achieved a turnover in France exceeding 50 million euros (CNP: […] euros for the 2011 financial year; Société Générale: […] euros for the same financial year). The notification thresholds of Article 1 paragraph 1 of Regulation (EC) 139/2004 are exceeded, but since each of the concerned companies generates more than two-thirds of its turnover in the Union in France, the operation does not have a community dimension. This operation is therefore subject to the provisions of Articles L. 430-3 and following of the Commercial Code relating to economic concentration.</w:t>
      </w:r>
    </w:p>
    <w:p>
      <w:r>
        <w:t xml:space="preserve">II. Delimitation of relevant markets  </w:t>
        <w:br/>
        <w:t xml:space="preserve">6. The operation leads to an overlap of activities of CNP, Sogecap, and the target asset in the real estate sector.  </w:t>
        <w:br/>
        <w:t xml:space="preserve">A. PRODUCT AND SERVICE MARKETS  </w:t>
        <w:br/>
        <w:t xml:space="preserve">7. The decisional practice has considered, while leaving the question open, various segmentations in the real estate sector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and (iv) the nature of the services or goods offered.  </w:t>
        <w:br/>
        <w:t xml:space="preserve">8. Regarding segmentation according to the nature of the services or goods offered, the decisional practice has considered distinguishing: i) real estate development, which includes construction and sale activities of real estate properties; ii) real estate asset management for own account; iii) real estate asset management for third-party account; iv) property management, which covers the management activities of buildings on behalf of owners and can be segmented between rental management and co-ownership management; v) real estate appraisal; vi) real estate consulting; and vii) intermediation in real estate transactions, for which intermediation in purchase/sale operations is distinguished from intermediation in rental operations.  </w:t>
        <w:br/>
        <w:t xml:space="preserve">9. In this case, the parties to the operation are simultaneously present in the market for the ownership and management of real estate assets for their own account of office buildings.  </w:t>
        <w:br/>
        <w:t xml:space="preserve">10. The question of the exact delimitation of markets in the real estate sector will, however, be left open, as the conclusions of the competitive analysis remain unchanged regardless of the delimitations retained.  </w:t>
        <w:br/>
        <w:t xml:space="preserve">B. GEOGRAPHICAL MARKETS  </w:t>
        <w:br/>
        <w:t xml:space="preserve">11. The decisional practice has considered that the markets related to the real estate sector are generally of infranational dimension, while leaving the question open. It has also considered a delimitation at the national level for the markets of real estate services intended for businesses when investment operations are carried out by large investors.  </w:t>
        <w:br/>
        <w:t xml:space="preserve">12. In this case, the parties to the operation are simultaneously active in the Île-de-France region. Regarding this area, the decisional practice has noted that "the Paris region has particular properties of continuity of urban areas. Indeed, there is a vast, highly urbanized, and homogeneous area covering most of Île-de-France, served by a global transport network; residents are always able to arbitrate between different parts of the region. This substitutability leads to a convergence of price levels. Therefore, the regional level is the most appropriate for competitive analysis."  </w:t>
        <w:br/>
        <w:t>13. However, the question of the exact delimitation of relevant markets may be left open as the conclusions of the competitive analysis remain unchanged regardless of the delimitation retained.</w:t>
      </w:r>
    </w:p>
    <w:p>
      <w:r>
        <w:rPr>
          <w:b/>
        </w:rPr>
        <w:t>[Pages 4–4]</w:t>
      </w:r>
    </w:p>
    <w:p>
      <w:r>
        <w:t xml:space="preserve">III. Competitive Analysis  </w:t>
        <w:br/>
        <w:t xml:space="preserve">14. CNP and Société Générale estimated their respective market shares at the national level to be approximately [0-5]% and [0-5]% in 2011. The national weight of the real estate complex, which is 19,290 m², is estimated at [0-5]%.  </w:t>
        <w:br/>
        <w:t xml:space="preserve">15. In the Île-de-France region, the respective market shares of CNP and Société Générale are around [0-5]% and [0-5]%, and the area of the real estate complex represents approximately [0-5]% of the total.  </w:t>
        <w:br/>
        <w:t xml:space="preserve">16. In a market limited to the Hauts-de-Seine department, the market shares of CNP and Société Générale are around [0-5]% and [0-5]%, and the area of the real estate complex represents [0-5]% of the total.  </w:t>
        <w:br/>
        <w:t xml:space="preserve">17. The market for the management and ownership for own account of real estate assets for office use in Île-de-France is also characterized by its high fragmentation. Indeed, many operators are active there, such as real estate companies, including listed real estate investment companies such as Gecina and Silic, as well as insurance companies, investment funds, and banks.  </w:t>
        <w:br/>
        <w:t xml:space="preserve">18. Consequently, the operation is not likely to harm competition.  </w:t>
        <w:br/>
        <w:t xml:space="preserve">DECIDES  </w:t>
        <w:br/>
        <w:t xml:space="preserve">Sole Article: The operation notified under number 12-155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