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https://www.autoritedelaconcurrence.fr/fr/decision-de-controle-des-concentrations/relative-la-prise-de-controle-conjointe-par-la-societe</w:t>
      </w:r>
    </w:p>
    <w:p>
      <w:r>
        <w:t>Pages translated : 2</w:t>
      </w:r>
    </w:p>
    <w:p/>
    <w:p>
      <w:r>
        <w:rPr>
          <w:b/>
        </w:rPr>
        <w:t>[Pages 1–2]</w:t>
      </w:r>
    </w:p>
    <w:p>
      <w:r>
        <w:t xml:space="preserve">FRENCH REPUBLIC  </w:t>
        <w:br/>
        <w:t xml:space="preserve">Decision No. 18-DCC-45 of March 29, 2018  </w:t>
        <w:br/>
        <w:t xml:space="preserve">regarding the joint control acquisition by Tuppin Automobiles and Holding François Mary of 18 business assets active in the automobile distribution market  </w:t>
        <w:br/>
        <w:t xml:space="preserve">The Competition Authority,  </w:t>
        <w:br/>
        <w:t xml:space="preserve">Having regard to the complete notification file sent to the mergers department on February 26, 2018, concerning the joint control acquisition by Tuppin Automobiles and Holding François Mary of 18 business assets active in the automobile distribution market, and formalized by a share transfer agreement dated February 9,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via the creation of a joint venture, by Tuppin Automobiles and Holding François Mary of 18 business assets held by Tuppin Automobiles, which are active in the automobile distribution market.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18-042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