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https://www.autoritedelaconcurrence.fr/fr/decision-de-controle-des-concentrations/relative-la-prise-de-controle-dactifs-de-la-societe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15-DCC-27 of March 18, 2015  </w:t>
        <w:br/>
        <w:t xml:space="preserve">regarding the acquisition of control of assets of the company Aquitaine Auto by  </w:t>
        <w:br/>
        <w:t xml:space="preserve">the Société d’Investissement et de Participation d’Aquitaine  </w:t>
        <w:br/>
        <w:t xml:space="preserve">The Competition Authority,  </w:t>
        <w:br/>
        <w:t xml:space="preserve">Having regard to the notification file sent to the mergers department on November 28, 2014, and  </w:t>
        <w:br/>
        <w:t xml:space="preserve">declared complete on February 16, 2015, concerning the exclusive control acquisition of the company  </w:t>
        <w:br/>
        <w:t xml:space="preserve">Aquitaine Auto by the Société d’Investissement et de Participation d’Aquitaine, carried out in  </w:t>
        <w:br/>
        <w:t xml:space="preserve">accordance with a judgment of the Bordeaux Commercial Court dated January 14, 2015;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Aquitaine Auto, which  </w:t>
        <w:br/>
        <w:t xml:space="preserve">operates car dealerships of the brands Hyundai, Mitsubishi, Daihatsu, and Ssangyong  </w:t>
        <w:br/>
        <w:t xml:space="preserve">in the department of Gironde (33), by the Société d’Investissement et de Participation  </w:t>
        <w:br/>
        <w:t xml:space="preserve">d’Aquitaine (hereinafter "SIPA"), a company at the head of a group active in the distribution of  </w:t>
        <w:br/>
        <w:t xml:space="preserve">automobiles in Gironde (33) and in other departments of the Aquitaine and Midi-Pyrénées regions. This operation constitutes a concentration within the meaning of Article L. 430-1 of  </w:t>
        <w:br/>
        <w:t xml:space="preserve">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14-215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