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https://www.autoritedelaconcurrence.fr/fr/decision-de-controle-des-concentrations/relative-la-prise-de-controle-de-certains-actifs-de-la</w:t>
      </w:r>
    </w:p>
    <w:p>
      <w:r>
        <w:t>Pages translated : 9</w:t>
      </w:r>
    </w:p>
    <w:p/>
    <w:p>
      <w:r>
        <w:rPr>
          <w:b/>
        </w:rPr>
        <w:t>[Pages 1–3]</w:t>
      </w:r>
    </w:p>
    <w:p>
      <w:r>
        <w:t xml:space="preserve">FRENCH REPUBLIC  </w:t>
        <w:br/>
        <w:t xml:space="preserve">Decision No. 14-DCC-85 of June 20, 2014  </w:t>
        <w:br/>
        <w:t>regarding the acquisition of control over certain assets of Jean Caby by Financière Turenne Lafayette</w:t>
      </w:r>
    </w:p>
    <w:p>
      <w:r>
        <w:t xml:space="preserve">The Competition Authority,  </w:t>
        <w:br/>
        <w:t xml:space="preserve">Having regard to the notification file submitted to the merger service on April 18, 2014, and declared complete on May 14, 2014, concerning the acquisition of control over certain assets of Jean Caby by Financière Turenne Lafayette, formalized by an acquisition offer dated December 27, 2013, extended and accepted on March 26, 2014;  </w:t>
        <w:br/>
        <w:t xml:space="preserve">Having regard to Book IV of the Commercial Code relating to the freedom of prices and competition, and in particular Articles L. 430-1 to L. 430-7;  </w:t>
        <w:br/>
        <w:t xml:space="preserve">Having regard to the supplementary elements provided by the notifying party during the investigation;  </w:t>
        <w:br/>
        <w:t>Adopts the following decision:</w:t>
      </w:r>
    </w:p>
    <w:p>
      <w:r>
        <w:t xml:space="preserve">I. The companies concerned and the operation  </w:t>
        <w:br/>
        <w:t xml:space="preserve">1. Financière Turenne Lafayette (hereinafter, "FTL") is a holding company controlled 100% by Ms. Monique Piffaut. FTL controls several companies active in the sectors of industrial charcuterie, canned prepared meals, and catering products. Its subsidiaries include Paul Prédault, Salaisons de l’Arrée, Montagne Noire, Tradition Traiteur, William Saurin, as well as Madrange, which it took control of in 2011.  </w:t>
        <w:br/>
        <w:t xml:space="preserve">2. The target assets are two production sites for industrial charcuterie located in Quimper and Landivisiau in Brittany (hereinafter, "the target assets") currently operated by Jean Caby (hereinafter, "Jean Caby"), which is 51% owned by FoxLease Food controlled by Mr. Eric Steiner and 49% by the Campofrio group.  </w:t>
        <w:br/>
        <w:t>1 See the decision of the Competition Authority No. 11-DCC-104 of July 4, 2011, regarding the exclusive control of FIMA by Financière de Turenne Lafayette.</w:t>
      </w:r>
    </w:p>
    <w:p>
      <w:r>
        <w:t xml:space="preserve">3. Under the terms of the draft transfer protocol dated December 27, 2013, it is planned that FTL will acquire all of the target assets, namely the businesses including the human and material resources attached to them, the real estate assets, and the stored goods. The Jean Caby brand is not transferred, but FTL will have an operating license for it for a period of six months, renewable once.  </w:t>
        <w:br/>
        <w:t xml:space="preserve">4. As it results in the acquisition of exclusive control by FTL over the target assets, the operation constitutes a concentration within the meaning of Article L. 430-1 of the Commercial Code.  </w:t>
        <w:br/>
        <w:t>5. The companies concerned together achieve a worldwide turnover of more than 150 million euros (FTL: […] euros for the 2012 fiscal year; target assets: […] euros for the same fiscal year). In France, these entities achieved a turnover exceeding 50 million euros (FTL: […] euros for the 2012 fiscal year; target assets: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The activities of the parties overlap in the industrial charcuterie sector.  </w:t>
        <w:br/>
        <w:t xml:space="preserve">A. PRODUCT MARKETS  </w:t>
        <w:br/>
        <w:t xml:space="preserve">7. The decisional practice has segmented charcuterie products based on the family to which the product belongs and the distribution channel (large and medium-sized stores ("GMS") and convenience stores, out-of-home catering ("RHF") and wholesalers, agri-food industry ("IAA")) and, for GMS, has considered a sub-segmentation based on the mode of distribution (self-service or counter service) and the positioning of the products.  </w:t>
        <w:br/>
        <w:t xml:space="preserve">8. Regarding segmentation by product family, the decisional practice has adopted the nomenclature of the French Federation of Charcutiers, Caterers, and Meat Processors (hereinafter "FICT") which distinguishes twenty-three product families grouped according to their mode of preparation (raw or cooked), the technology used (salting, drying, smoking, cooking, canning, freezing), and the type of meat used (pork, poultry, beef, game, etc.). The Competition Authority specifies, however, that this nomenclature pertains to a very fine segmentation and has considered grouping certain families of charcuterie products and, in particular, retaining a single market for pâtés.  </w:t>
        <w:br/>
        <w:t xml:space="preserve">9. Within the category "pâtés and various meat preparations," which includes, in addition to various pâtés, cooked poultry meats (breasts, sliced meats, bacon, etc.), the FICT distinguishes five product families. The notifying party believes that these families do not reflect the reality of consumer choices and that it would be more appropriate to consider a market for pâtés and a market for cooked poultry meats. The respondents to the market test confirm for the vast majority that cooked turkey meats and cooked meats from other poultry should be grouped within the same market. On the pâté segment, some respondents also believe that it would be relevant to combine the FICT family of pâtés and various liver-based preparations with that of other pork preparations and preserves, including mixtures. However, other respondents point out the lack of substitutability from the consumer's perspective between the different types of pâtés.  </w:t>
        <w:br/>
        <w:t xml:space="preserve">10. Several respondents to the market test also mention a certain substitutability from the demand side between cooked hams, cooked shoulders, and even sliced cooked poultry meats. They also specify that the production lines are identical for these three products.  </w:t>
        <w:br/>
        <w:t xml:space="preserve">11. In this case, there is no need to make a definitive ruling on the relevance of the proposed groupings of product families, as the conclusions of the competitive analysis remain unchanged regardless of the market definition retained.  </w:t>
        <w:br/>
        <w:t xml:space="preserve">12. Regarding segmentation by mode of distribution, the decisional practice distinguishes for GMS between, on the one hand, self-service sales (pre-sliced products) and, on the other hand, counter sales.  </w:t>
        <w:br/>
        <w:t xml:space="preserve">13. The notifying party believes that this segmentation is no longer relevant. It argues that an operator specialized in the distribution of self-service products can quickly develop products for counter sales. It also highlights the growth of self-service products, which now represent 66% of total production, while counter products have decreased from 37% ten years ago to 27% today. Finally, it reports the emergence of "fresh packaged" products (pre-sliced and then sold in individual packaging) which contribute to blurring the distinction between products sold in self-service and those sold at the counter.  </w:t>
        <w:br/>
        <w:t xml:space="preserve">14. In this case, the question may remain open as the conclusions of the competitive analysis would remain unchanged regardless of the hypothesis retained.  </w:t>
        <w:br/>
        <w:t>15. Regarding segmentation by the commercial positioning of products, the decisional practice classically distinguishes for charcuterie products between, on the one hand, manufacturer brands ("MDF") and, on the other hand, private label brands ("MDD"), entry-level brands ("MPP"), and hard discount brands ("MHD") (hereinafter referred to by the abbreviation "MDD" for all MDD, MPP, and MHD brands) which are characterized by a widespread use of tenders, short-term supply contracts, and compliance with strict specifications defined by the</w:t>
      </w:r>
    </w:p>
    <w:p>
      <w:r>
        <w:rPr>
          <w:b/>
        </w:rPr>
        <w:t>[Pages 4–6]</w:t>
      </w:r>
    </w:p>
    <w:p>
      <w:r>
        <w:t>food distribution brands. However, in recent decisions, the Authority noted that the competition exerted by private label products (MDD) on branded products (MDF) was strong, that the quality of the products was similar, and that the manufacturing processes were identical. It also highlighted the steady increase in the penetration rate of private label products in the self-service deli meats market. The notifying party confirms this trend and therefore considers that it is appropriate to consider a single market comprising both MDF and MDD.</w:t>
      </w:r>
    </w:p>
    <w:p>
      <w:r>
        <w:t>16. The responses from competitors to the market test confirm that the quality of the products is similar and that the manufacturing processes are identical for both MDF and MDD. Similarly, according to a recent study, private label products represented approximately 57% of the value sales of self-service deli meats in 2012, thus confirming their growth. This high penetration rate indicates that consumers are indeed making a choice among all the products offered, whether they are MDD or MDF.</w:t>
      </w:r>
    </w:p>
    <w:p>
      <w:r>
        <w:t>17. On the supply side, several manufacturers supply large retailers with both MDD and MDF. Their positions in the two product segments are therefore interdependent as they determine the use of their capacities and their development prospects. Other players (i.e., Fleury Michon and Herta) focus for commercial reasons on their brand. However, the strong similarity between MDF products and MDD products allows for relatively quick adjustments regarding the use of their capacities to produce either MDF or MDD.</w:t>
      </w:r>
    </w:p>
    <w:p>
      <w:r>
        <w:t>18. While the overlaps in activities between the parties mainly concern private label deli meat products (MDD), the strong substitutability with branded products (MDF) justifies that, for the purposes of this analysis, a single market for the supply to large retailers be considered regardless of the positioning of the products (MDD and MDF).</w:t>
      </w:r>
    </w:p>
    <w:p>
      <w:r>
        <w:t>19. In this case, the parties are simultaneously present in sales to the three distribution channels and in eight product families: (i) Other salted, dried, or smoked pork meats (RHF), (ii) cooked hams (GMS, RHF, IAA), (iii) cooked shoulders (GMS, RHF), (iv) other cooked pieces (GMS, RHF), (v) pâtés and various liver-based preparations (GMS, RHF), (vi) other pork preparations and preserves, including mixtures (GMS, RHF), (vii) other turkey-based preparations and preserves (GMS, RHF), and (viii) other poultry-based preparations and preserves other than turkey (GMS, RHF). Furthermore, the Jean Caby assets are only present in the family of breasts and their salted, dried, or smoked pieces.</w:t>
      </w:r>
    </w:p>
    <w:p>
      <w:r>
        <w:t>B. GEOGRAPHICAL MARKETS</w:t>
      </w:r>
    </w:p>
    <w:p>
      <w:r>
        <w:t>20. Due in particular to consumption habits that often differ from one country to another, national and community competition authorities have retained a national dimension for the markets of deli meat products.</w:t>
      </w:r>
    </w:p>
    <w:p>
      <w:r>
        <w:t>21. There is no need to challenge the national dimension of the relevant markets in the context of this operation.</w:t>
      </w:r>
    </w:p>
    <w:p>
      <w:r>
        <w:t>7 See in particular the decisions of the Competition Authority No. 11-DCC-104 and No. 12-DCC-178 mentioned above.</w:t>
      </w:r>
    </w:p>
    <w:p>
      <w:r>
        <w:t>8 Xerfi study on the production of deli meats from January 2013.</w:t>
      </w:r>
    </w:p>
    <w:p>
      <w:r>
        <w:t>9 The parties' activities also overlap in the family of sausages and other non-liver sausages, but only in a very marginal way since the production of the target assets represented only 32 tons in 2013.</w:t>
      </w:r>
    </w:p>
    <w:p>
      <w:r>
        <w:t>10 In this family, FTL produced a marginal volume of two tons in 2013.</w:t>
      </w:r>
    </w:p>
    <w:p>
      <w:r>
        <w:t>III. Competitive Analysis</w:t>
      </w:r>
    </w:p>
    <w:p>
      <w:r>
        <w:t>A. ANALYSIS OF HORIZONTAL EFFECTS</w:t>
      </w:r>
    </w:p>
    <w:p>
      <w:r>
        <w:t>22. As a preliminary point, the notifying party claims that the target assets will no longer produce pâtés and cooked poultry meats within twelve months following the completion of the operation. To support its claims, it provides several documentary elements that indicate a willingness to reposition the activity of the Quimper factory in the medium and long term and seems to indicate a conversion towards the catering sector. However, regardless of the state of the notifying party's projects in this regard, they are not definitive and remain perfectly reversible. Moreover, the documents provided do not allow for a precise understanding of which activities will be affected by the conversion and what the timeline for this change might be.</w:t>
      </w:r>
    </w:p>
    <w:p>
      <w:r>
        <w:t>23. The various markets for pâtés and cooked poultry meats affected by the operation will therefore be subject to an analysis regarding potential horizontal effects.</w:t>
      </w:r>
    </w:p>
    <w:p>
      <w:r>
        <w:t>a) Sales to RHF and wholesalers</w:t>
      </w:r>
    </w:p>
    <w:p>
      <w:r>
        <w:t>24. Regarding products sold to RHF and wholesalers, the parties are simultaneously present in eight product families: (i) Other salted, dried, or smoked pork meats, (ii) cooked hams, (iii) cooked shoulders, (iv) other cooked pieces, (v) pâtés and various liver-based preparations, (vi) other pork preparations and preserves, including mixtures, (vii) other turkey-based preparations and preserves, and (viii) other poultry-based preparations and preserves other than turkey.</w:t>
      </w:r>
    </w:p>
    <w:p>
      <w:r>
        <w:t>25. The market shares of the parties will be below [5-10]% across all these families, with the exception of two families of deli meat products: cooked hams and cooked shoulders.</w:t>
      </w:r>
    </w:p>
    <w:p>
      <w:r>
        <w:t>26. In the cooked hams family, the new entity will hold a market share of approximately [10-20]% following the operation, with the target assets representing an increment of about [5-10]%. The notifying party indicates that there is no public data allowing it to assess the market share of its competitors in this distribution channel. However, it cites its main competitors as Brocéliande (Cooperl group), Jean Floc’h, and Loste Grand Saloir.</w:t>
      </w:r>
    </w:p>
    <w:p>
      <w:r>
        <w:t>27. In the cooked shoulders family, the new entity will hold a market share of approximately [10-20]% following the operation, with the target assets representing an increment of about [5-10]%. The notifying party indicates that its main competitors are Jean Floc’h and Brocéliande.</w:t>
      </w:r>
    </w:p>
    <w:p>
      <w:r>
        <w:t>28. Consequently, this operation is not likely to harm competition in the markets for the sale of deli meat products to RHF and wholesalers.</w:t>
      </w:r>
    </w:p>
    <w:p>
      <w:r>
        <w:t>b) Sales to IAA</w:t>
      </w:r>
    </w:p>
    <w:p>
      <w:r>
        <w:t>29. Regarding sales to IAA, the parties are simultaneously present only in the cooked hams family. The notifying party estimates the position of the new entity at approximately [5-10]% in this market with a small increment of about [0-5]%.</w:t>
      </w:r>
    </w:p>
    <w:p>
      <w:r>
        <w:t>30. The operation is therefore not likely to harm competition in the markets for the sale of deli meat products to IAA.</w:t>
      </w:r>
    </w:p>
    <w:p>
      <w:r>
        <w:t>c) Sales to GMS and convenience stores</w:t>
      </w:r>
    </w:p>
    <w:p>
      <w:r>
        <w:t>31. Regarding products sold to GMS and convenience stores, the parties are simultaneously present in seven product families: (i) cooked hams, (ii) cooked shoulders, (iii) other cooked pieces, (iv) pâtés and various liver-based preparations, (v) other pork preparations and preserves, including mixtures, (vi) other turkey-based preparations and preserves, and (vii) other poultry-based preparations and preserves other than turkey.</w:t>
      </w:r>
    </w:p>
    <w:p>
      <w:r>
        <w:t>32. The notifying party provided an estimate of the market share it will hold in France following the proposed operation, for each of the affected families of deli meat products segmented by distribution channel, mode of distribution (self-service or cut-to-order), and product positioning. Based on this data, it appears that the positions of the new entity will be below [20-30]% across all the markets considered in this analysis, with the exception of three families of deli meat products: (i) cooked hams and, according to a conservative market delineation, (ii) pâtés and various liver-based preparations, and (iii) other turkey-based preparations and preserves.</w:t>
      </w:r>
    </w:p>
    <w:p>
      <w:r>
        <w:t>33. In the family of pâtés and various liver-based preparations, the market share of the new entity will be approximately [30-40]% with a very limited increment of about [0-5]%. FTL thus retains its pre-existing position as leader in this segment ahead of the Cooperl group (approximately [5-10]%), Fleury Michon (approximately [5-10]%), and Charcuteries Gourmandes (approximately [0-5]%). The notifying party specifies that this is a very limited market in terms of volume and turnover. It estimates that the other competitors of the new entity in this market are smaller companies that distribute their products to GMS at a local, regional, and, for some, national level. It cites Prunier, Jean Brient, Gourmets de l’Artois, Petit Gars, Jean Floch, Séléction Charcutières, Le Douesy, and Domaine Picard.</w:t>
      </w:r>
    </w:p>
    <w:p>
      <w:r>
        <w:t>34. In the market for supplying GMS and convenience stores with pâtés and various liver-based preparations, the operation marginally strengthens FTL's position, and the new entity will continue to face several competitors.</w:t>
      </w:r>
    </w:p>
    <w:p>
      <w:r>
        <w:t>36. In the family of other turkey-based preparations and preserves, the market share of the new entity will be approximately [30-40]% with a limited increment of about [0-5]%. Following the operation, FTL will become the leader in this market ahead of Fleury Michon, whose market share is estimated by the notifying party to be approximately [30-40]%, LDC (approximately [10-20]%), and Gastronome ([0-5]%). Furthermore, in response to the market test, several of these competitors have indicated that they are actively competing in this segment.</w:t>
      </w:r>
    </w:p>
    <w:p>
      <w:r>
        <w:rPr>
          <w:b/>
        </w:rPr>
        <w:t>[Pages 7–9]</w:t>
      </w:r>
    </w:p>
    <w:p>
      <w:r>
        <w:t>claimed to have available production capacities regarding cooked poultry meats. Finally, while the GMS brands that responded to the market test express concerns about the families of cooked hams and pâtés and various liver-based preparations, only a very small minority is worried about possible effects on the markets for cooked poultry.</w:t>
      </w:r>
    </w:p>
    <w:p>
      <w:r>
        <w:t>37. In the market for supplying GMS and convenience stores with other turkey-based preparations and preserves, the new entity will continue to face significant current and potential competition.</w:t>
      </w:r>
    </w:p>
    <w:p>
      <w:r>
        <w:t>38. In the cooked hams category, the operation combines the market's leading player (FTL with [20-30]% market share) with the fourth (the target assets with [10-20]% market share), thereby strengthening FTL's leading position, which will hold a market share of approximately [40-50]%. However, the new entity will still face competition from Fleury Michon and Herta, which the notifying party estimates each have a market share of about [20-30]%, as well as from the Cooperl group (approximately [5-10]%). In addition to these three main competitors, the notifying party mentions the presence of smaller French companies that mostly distribute their products to GMS brands at a regional level (Charcuteries Gourmandes, Petit Gars, Loste Grand Saloir, Domaine Picard). It also cites European companies, mainly German (Sauels, Sutter) and Italian (Montorsi, Citterio, Négroni, Parmacotto) that supply volumes of cooked hams to GMS brands in France.</w:t>
      </w:r>
    </w:p>
    <w:p>
      <w:r>
        <w:t>39. Furthermore, the Leclerc and ITM brands have their own subsidiaries for manufacturing charcuterie products. While Kermené (a subsidiary of Leclerc) confirms that it does not currently sell and does not intend to sell in the future to other brands than its parent company, Monique Ranou (a subsidiary of ITM) sells a small portion of its production of cooked hams to other GMS brands.</w:t>
      </w:r>
    </w:p>
    <w:p>
      <w:r>
        <w:t>40. In response to the market test, the three main competitors and Monique Ranou state that their immediately available production capacities are limited. However, they believe that they could, with a moderate level of investment (adding production lines and/or cooking tanks) and within a relatively short timeframe, significantly increase their production. The notifying party also believes that GMS could increasingly resort to imported products to counter a potential price increase after the operation. However, the brands report that they practice a policy aimed at offering a maximum (if not all) of their products labeled as "French pork meat." An increased reliance on foreign suppliers could therefore undermine this policy and handicap them in competition, particularly with upstream integrated brands like ITM and Leclerc. However, it appears that imports of charcuterie products in France increased by 15% from 2008 to 2012, reaching approximately 10%. These imports particularly concern the lower market segment, as several GMS report sourcing small quantities of cooked hams, corresponding to low-cost brands, from foreign suppliers. The majority of brands finally believe that if there is a sufficient price differential, consumers would be willing to purchase products of foreign origin.</w:t>
      </w:r>
    </w:p>
    <w:p>
      <w:r>
        <w:t>41. Furthermore, the notifying party believes that the market shares of the new entity should be put into perspective due to the significant purchasing power of GMS. This market share represents the position of the parties in a market excluding the Leclerc and ITM brands, considering their internal sourcing, as indicated in §39.</w:t>
      </w:r>
    </w:p>
    <w:p>
      <w:r>
        <w:t>42. In the markets for the marketing of food products intended for large distribution, the Authority regularly emphasizes that GMS have significant bargaining power over their suppliers, particularly regarding their sourcing of private label products (MDD). This results from both the concentration of large distribution groups, their organization as professional buyers, and the frequent questioning of supply contracts, especially for private label products.</w:t>
      </w:r>
    </w:p>
    <w:p>
      <w:r>
        <w:t>43. Specifically regarding charcuterie products, the aforementioned study notes that in recent years, the pressure from clients (GMS) on prices has contributed to preventing any price revaluation, with producers' gross margin rates having decreased steadily since 2010 while production costs have increased. Furthermore, the notifying party reports having regularly lost volumes during the renewal of private label tenders over the past three years. It cites […] tenders lost partially or entirely for cooked hams and […] for pâtés and mousses. FTL also reports that its cooked ham brand Madrange has been delisted by the brand [confidential] in the markets for supplying GMS with charcuterie products.</w:t>
      </w:r>
    </w:p>
    <w:p>
      <w:r>
        <w:t>44. Given these elements, the present operation is not likely to harm competition in the markets for the sale of charcuterie products to GMS and convenience stores.</w:t>
      </w:r>
    </w:p>
    <w:p>
      <w:r>
        <w:t>B. ANALYSIS OF CONGLOMERATE EFFECTS</w:t>
      </w:r>
    </w:p>
    <w:p>
      <w:r>
        <w:t>45. The present operation will only allow FTL to expand the range of charcuterie products it offers to the various distribution channels in the family of salted, dried, or smoked breasts and their pieces. The notifying party further specifies that this expansion will only be temporary as it plans to cease production of this family of products in the near future. In any case, for breasts and their salted, dried, or smoked pieces, the target assets represent a market share of less than [5-10]% regardless of the segmentation chosen.</w:t>
      </w:r>
    </w:p>
    <w:p>
      <w:r>
        <w:t>46. The operation will also result in strengthening the new entity in product families that FTL was already selling through the various distribution channels. However, the market shares of the new entity will exceed [30-40]% only for three families of products sold to GMS and convenience stores, among which the market share increment will exceed [5-10]% only for the cooked hams family.</w:t>
      </w:r>
    </w:p>
    <w:p>
      <w:r>
        <w:t>47. A leveraging effect from this market will nevertheless be unlikely as a number of competitors of the parties to the concentration, such as Brocéliande (Cooperl group), Herta (Nestlé group), Fleury Michon, and to a lesser extent Aoste (Campofrio group), are able to offer a similarly wide range of products. Furthermore, these same competitors have more well-known brands in the charcuterie market than those of the parties (Herta, Fleury Michon, Aoste, Justin Bridou). Regarding private label products, the possibility of tied sales also appears unlikely as these markets operate almost exclusively through regularly renewed tenders specific to each product family. The GMS brands surveyed have indicated that these tenders are open to suppliers who do not cover the entirety of the requested products or volumes and that, in practice, volumes are very often shared among different suppliers.</w:t>
      </w:r>
    </w:p>
    <w:p>
      <w:r>
        <w:t>48. Consequently, the operation is not likely to harm competition in the charcuterie markets through conglomerate effects.</w:t>
      </w:r>
    </w:p>
    <w:p>
      <w:r>
        <w:t>DECIDES</w:t>
      </w:r>
    </w:p>
    <w:p>
      <w:r>
        <w:t>Sole Article: The operation notified under number 14-043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