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https://www.autoritedelaconcurrence.fr/fr/decision-de-controle-des-concentrations/relative-la-prise-de-controle-de-certains-actifs-du-groupe</w:t>
      </w:r>
    </w:p>
    <w:p>
      <w:r>
        <w:t>Pages translated : 4</w:t>
      </w:r>
    </w:p>
    <w:p/>
    <w:p>
      <w:r>
        <w:rPr>
          <w:b/>
        </w:rPr>
        <w:t>[Pages 1–3]</w:t>
      </w:r>
    </w:p>
    <w:p>
      <w:r>
        <w:t xml:space="preserve">FRENCH REPUBLIC  </w:t>
        <w:br/>
        <w:t xml:space="preserve">Decision No. 13-DCC-13 of February 12, 2013  </w:t>
        <w:br/>
        <w:t xml:space="preserve">regarding the takeover of certain assets of the Doux group by the  </w:t>
        <w:br/>
        <w:t>company Glon Sanders Holding</w:t>
      </w:r>
    </w:p>
    <w:p>
      <w:r>
        <w:t xml:space="preserve">The Competition Authority,  </w:t>
        <w:br/>
        <w:t xml:space="preserve">Having regard to the notification file sent to the merger service on September 3, 2012, and declared complete on January 8, 2013, regarding the takeover of certain assets of the Doux group by the company Glon Sanders Holding, formalized by a takeover offer submitted on August 31, 2012, and accepted by a judgment of the Commercial Court of Quimper pronounced on September 10, 2012;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1. Glon Sanders Holding (hereinafter "GSH") is a company exclusively controlled by the company Sofiprotéol, a financial institution active in the oilseed and protein sector, whose main shareholders are professional or interprofessional agricultural organizations and financial institutions. Sofiprotéol is present at various stages of the French oilseed and protein sector: crushing of oilseeds and refining of oil, production, bottling, and marketing of edible oils and cold sauces, production and marketing of biofuels, oleochemistry, manufacturing and marketing of cakes and complete animal feeds. Furthermore, since the acquisition of the Glon-Sanders group, Sofiprotéol is also present in the poultry and pork meat sectors.  </w:t>
        <w:br/>
        <w:t>2. The target assets are two poultry slaughtering and cutting sites located in Boynes (chicken) and Blancafort (turkey), a complete animal feed production site located in Clémont, a chick breeding site located in Amilly, as well as a poultry cutting and packaging line located at the production site in Pleucadeuc.</w:t>
      </w:r>
    </w:p>
    <w:p>
      <w:r>
        <w:t xml:space="preserve">3. The operation consists of the takeover of the Blancafort and Clémont sites by GSH and the takeover of the Boynes and Amilly sites by GSH and the company Duc, through an acquisition vehicle whose capital will be equally held by the two companies. However, the shareholders' agreement concluded on August 9, 2012, between GSH and Duc grants GSH the majority on the supervisory board and the management board and does not grant Duc any veto rights over strategic decisions. Consequently, GSH exercises exclusive control over all the target assets.  </w:t>
        <w:br/>
        <w:t xml:space="preserve">4. As it results in the acquisition of exclusive control by GSH over the target assets, the operation constitutes a concentration within the meaning of Article L.430-1 of the Commercial Code.  </w:t>
        <w:br/>
        <w:t>5. The companies concerned achieve a total worldwide turnover of more than 150 million euros (Sofiprotéol group: […] euros for the 2011 financial year; target assets: […] euros for the same financial year). At least two of these companies achieve a turnover in France exceeding 50 million euros (Sofiprotéol group: […] euros for the 2011 financial year; target assets: […] euros for the same financial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6. The complete animal feeds produced by the Clémont site and the chicks produced by the Amilly hatchery are exclusively used within the framework of integration contracts concluded by the Doux group with breeders, whereby the latter commit to producing, from the chicks and complete feeds made available to them, poultry that is then intended for the slaughtering sites of Boynes and Blancafort. The volumes of complete feeds and chicks are therefore fully self-consumed within the Doux group. Following the operation, the notifying party states that the complete feeds produced by the Clémont site and the chicks raised at the Amilly site will continue to be predominantly used within the framework of integration contracts to be concluded with breeders for the production of poultry intended for the slaughtering and cutting sites of Boynes and Blancafort. The markets for hatching and animal feed are therefore not concerned by the operation.  </w:t>
        <w:br/>
        <w:t xml:space="preserve">7. The value chain of this sector includes different activities: (i) the collection of live poultry for slaughter, (ii) the marketing of fresh meat, and (iii) the marketing of processed products. Only certain markets for the marketing of fresh poultry meat are concerned by the operation. Indeed, since GSH's slaughtering sites are not located in the collection areas of the Blancafort and Clémont sites, the operation does not result in any overlap of activities in these markets. Furthermore, the targets are not present in the markets for the marketing of processed products.  </w:t>
        <w:br/>
        <w:t xml:space="preserve">8. The national decision-making practice considers that the market for fresh poultry meat can be segmented according to the species concerned, the existence or not of a quality label, and the distribution channel. The Authority has also considered the existence of markets for organic fresh poultry meat while leaving the question open. The parties do not challenge these different segmentations.  </w:t>
        <w:br/>
        <w:t xml:space="preserve">9. There are also differences in taste and price between the different species of poultry and also within the same species between so-called "standard" poultry and labeled poultry, which enjoy better organoleptic qualities. Furthermore, the existence of different needs depending on the type of buyers (notably in terms of volumes, sizing, and packaging) justifies the assessment of the market power of companies by making a distinction according to the distribution channel between: large and medium-sized food stores ("GMS"), artisan butchers and delicatessens ("BCA"), the agri-food industry ("IAA"), and catering outside the home ("RHF").  </w:t>
        <w:br/>
        <w:t xml:space="preserve">10. Furthermore, the Competition Authority has considered that in the matter of fresh poultry meat, it is not relevant to segment the markets between meat sold under private label ("MDD") and that sold under manufacturer brand ("MDF"), as there is no substantial difference in quality between these two types of products, the price differences resulting mainly from the marketing or commercial costs borne by the MDF and from the fact that the production chains of MDD are generally longer.  </w:t>
        <w:br/>
        <w:t xml:space="preserve">11. From a geographical perspective, competition in the markets for fresh poultry meat operates at the national level due to constraints in terms of production, preservation, and delivery. There is no reason to challenge this delimitation during the examination of the present operation.  </w:t>
        <w:br/>
        <w:t>12. In this case, the parties are simultaneously present in the market for standard fresh chicken meat and in the market for standard fresh turkey meat.</w:t>
      </w:r>
    </w:p>
    <w:p>
      <w:r>
        <w:t xml:space="preserve">III. Competitive analysis  </w:t>
        <w:br/>
        <w:t xml:space="preserve">13. In a global market for the marketing of standard fresh chicken meat (excluding exported volumes), the notifying party estimates that the cumulative market shares of GSH and the target assets amount to [5-10]%, of which less than [0-5]% for the target assets.  </w:t>
        <w:br/>
        <w:t xml:space="preserve">14. In a global market for the marketing of standard fresh turkey meat (excluding exported volumes), the notifying party estimates the market share of the new entity at [5-10]%, the operation resulting in an increment of around [0-5]%.  </w:t>
        <w:br/>
        <w:t>15. Regarding the distribution of sales according to the different distribution channels, the notifying party indicates that GSH's chicken production is sold to IAA, hard discount stores, and wholesalers, while the Boynes plant currently markets...</w:t>
      </w:r>
    </w:p>
    <w:p>
      <w:r>
        <w:rPr>
          <w:b/>
        </w:rPr>
        <w:t>[Pages 4–4]</w:t>
      </w:r>
    </w:p>
    <w:p>
      <w:r>
        <w:t>[…] % of its production to the IAA ([confidential]), the remainder being marketed to wholesalers. For standard turkey, the parties are simultaneously present in the channel of sales to GMS, to IAA, and to wholesalers.</w:t>
      </w:r>
    </w:p>
    <w:p>
      <w:r>
        <w:t>16. The main competitors in the markets for the marketing of fresh standard chicken meat are LDC, whose market share in the overall market is around [20-30] %, and Gastronome ([10-20] %). Regarding turkey, LDC holds an overall market share of around [40-50] %.</w:t>
      </w:r>
    </w:p>
    <w:p>
      <w:r>
        <w:t>17. The low market shares of the new entity and the existence of significant competitors allow for the dismissal of any unilateral effect related to the operation in the markets for the marketing of fresh poultry meat, regardless of the distribution channel concerned.</w:t>
      </w:r>
    </w:p>
    <w:p>
      <w:r>
        <w:t>DECIDES</w:t>
      </w:r>
    </w:p>
    <w:p>
      <w:r>
        <w:t>Sole Article: The operation notified under number 12-148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