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https://www.autoritedelaconcurrence.fr/fr/decision-de-controle-des-concentrations/relative-la-prise-de-controle-de-colruyt-france-sas-par</w:t>
      </w:r>
    </w:p>
    <w:p>
      <w:r>
        <w:t>Pages translated : 12</w:t>
      </w:r>
    </w:p>
    <w:p/>
    <w:p>
      <w:r>
        <w:rPr>
          <w:b/>
        </w:rPr>
        <w:t>[Pages 1–3]</w:t>
      </w:r>
    </w:p>
    <w:p>
      <w:r>
        <w:t xml:space="preserve">FRENCH REPUBLIC  </w:t>
        <w:br/>
        <w:t xml:space="preserve">Decision No. 17-DCC-11 of January 30, 2017  </w:t>
        <w:br/>
        <w:t xml:space="preserve">regarding the acquisition of Colruyt France SAS by Metro AG  </w:t>
        <w:br/>
        <w:t xml:space="preserve">The Competition Authority,  </w:t>
        <w:br/>
        <w:t xml:space="preserve">Having regard to the request for referral submitted on November 9, 2016, by Metro AG and the referral decision of the European Commission of November 28, 2016, made pursuant to Article 4, paragraph 4 of Council Regulation (EC) No. 139/2004;  </w:t>
        <w:br/>
        <w:t xml:space="preserve">Having regard to the notification file sent to the merger service on December 7, 2016, and declared complete on December 27, 2016, concerning the acquisition by Metro AG of Colruyt France SAS, formalized by a share purchase agreement dated July 7, 2016, between Metro Cash &amp; Carry International Holding BV and SA ETS FR Colruyt;  </w:t>
        <w:br/>
        <w:t xml:space="preserve">Having regard to Book IV of the Commercial Code relating to price freedom and competition, and in particular Articles L. 430-1 to L. 430-7;  </w:t>
        <w:br/>
        <w:t xml:space="preserve">Having regard to the additional elements submitted by the parties during the investigation;  </w:t>
        <w:br/>
        <w:t xml:space="preserve">Adopts the following decision:  </w:t>
        <w:br/>
        <w:t xml:space="preserve">I. The companies concerned and the operation  </w:t>
        <w:br/>
        <w:t xml:space="preserve">1. Metro AG (hereinafter "Metro") is the parent company of the Metro group, primarily active in the retail and wholesale trade of food and non-food products as well as consumer electronics. It operates in France, through its subsidiary Metro Cash &amp; Carry France, 94 self-service wholesale stores mainly selling food and "quasi-food" products, including fresh, frozen, and ambient temperature products, as well as equipment for professionals. It distributes products under supplier brands but also under its own brands. Metro AG is a German company listed on the Frankfurt Stock Exchange. Its capital is held by several legal and natural persons, with no shareholder likely to exercise, alone or jointly, control over the company.  </w:t>
        <w:br/>
        <w:t xml:space="preserve">2. Colruyt France SAS is the parent company of a group of companies active in the wholesale trade and delivery of food products under the Pro-à-Pro brand for the out-of-home catering sector (hereinafter "RHD"). It has 16 warehouses and 19 logistics platforms. Colruyt France SAS is controlled by the Belgian law company ETS FR Colruyt, the head of the Colruyt group, active in the food-dominant retail and wholesale trade sector.  </w:t>
        <w:br/>
        <w:t xml:space="preserve">3. The operation, formalized by a share purchase agreement dated July 7, 2016, consists of the acquisition by Metro, via its subsidiary Metro Cash &amp; Carry International Holding BV, of 100% of the share capital and voting rights of Colruyt France SAS. As it results in the exclusive control of Colruyt France SAS by Metro, it constitutes a concentration operation within the meaning of Article L. 430-1 of the Commercial Code.  </w:t>
        <w:br/>
        <w:t xml:space="preserve">4. This operation falls under the jurisdiction of the European Union pursuant to Article 1, paragraph 2 of Council Regulation (EC) No. 139/2004 on concentrations. Indeed, the companies concerned have achieved a consolidated worldwide turnover of more than 5 billion euros (Metro AG: 58 billion euros for the fiscal year ending September 30, 2016; Colruyt France: [….] euros for the fiscal year ending December 31, 2015). Furthermore, each of them has achieved a turnover in the European Union exceeding 250 million euros (Metro AG: [….] euros for the fiscal year ending September 30, 2016; Colruyt France: [….] euros for the fiscal year ending December 31, 2015). Finally, only Colruyt France has achieved more than two-thirds of its turnover in the European Union in a single Member State, France.  </w:t>
        <w:br/>
        <w:t xml:space="preserve">5. However, on November 9, 2016, the European Commission acknowledged receipt of a reasoned memorandum submitted by Metro AG requesting the total referral of the operation to the Competition Authority, pursuant to Article 4, paragraph 4 of Regulation No. 139/2004 of the Council, which states: "Before the notification of a concentration within the meaning of paragraph 1, the persons or companies referred to in paragraph 2 may inform the Commission, by means of a reasoned memorandum, that the concentration is likely to significantly affect competition in a market within a Member State that has all the characteristics of a distinct market and that it should therefore be examined, in whole or in part, by that Member State.  </w:t>
        <w:br/>
        <w:t xml:space="preserve">The Commission shall promptly forward this memorandum to all Member States. The Member State referred to in the reasoned memorandum must, within fifteen working days of receipt of the memorandum, express its agreement or disagreement with the request for referral of the case. When that Member State does not make a decision within this period, it is deemed to agree.  </w:t>
        <w:br/>
        <w:t xml:space="preserve">Unless that Member State expresses its disagreement, the Commission, when it considers that such a distinct market exists and that competition in that market is likely to be significantly affected by the concentration, may decide to refer all or part of the case to the competent authorities of that Member State for the application of that Member State's national competition law."  </w:t>
        <w:br/>
        <w:t>6. By decision No. COMP/M.7725 dated November 28, 2016, the European Commission referred the case to the Competition Authority. The exclusive control of Colruyt France SAS by Metro AG is therefore subject, pursuant to point IV of Article L. 430-2 of the Commercial Code, to French merger control. The notification of the operation was sent to the Competition Authority on December 7, 2016, and the file was declared complete on December 27, 2016.</w:t>
      </w:r>
    </w:p>
    <w:p>
      <w:r>
        <w:t xml:space="preserve">II. Definition of the relevant markets  </w:t>
        <w:br/>
        <w:t xml:space="preserve">7. Metro and Colruyt France are simultaneously present in the intermediate markets for the wholesale distribution of food products sold to the RHD as well as in the upstream markets for the supply of these products.  </w:t>
        <w:br/>
        <w:t xml:space="preserve">A. PRODUCT AND SERVICE MARKETS  </w:t>
        <w:br/>
        <w:t xml:space="preserve">1. UPSTREAM MARKETS FOR FOOD PRODUCT SUPPLY  </w:t>
        <w:br/>
        <w:t xml:space="preserve">8. Regarding the "upstream" supply markets, the decision-making practice delineates as many relevant markets as there are groups of products.  </w:t>
        <w:br/>
        <w:t xml:space="preserve">9. In the food distribution sector, companies are present in upstream supply markets, which include the sale of consumer goods by producers to customers such as wholesalers, retailers (Large Food Stores - GSA - and Specialized Large Stores - GSS) or other businesses (for example, cafés/hotels/restaurants).  </w:t>
        <w:br/>
        <w:t xml:space="preserve">10. In the context of examining operations concerning food-dominant retail, competition authorities have distinguished 23 product categories, namely:  </w:t>
        <w:br/>
        <w:t xml:space="preserve">• fast-moving consumer goods: (1) liquids, (2) drugstore, (3) perfumery and hygiene, (4) dry grocery, (5) parapharmacy, (6) perishable goods in self-service,  </w:t>
        <w:br/>
        <w:t xml:space="preserve">• traditional fresh: (7) delicatessen, (8) fishmonger, (9) fruits and vegetables, (10) fresh bread and pastries, (11) butcher,  </w:t>
        <w:br/>
        <w:t xml:space="preserve">• bazaar products: (12) DIY, (13) home, (14) culture, (15) toys, leisure and relaxation, (16) garden, (17) automotive,  </w:t>
        <w:br/>
        <w:t xml:space="preserve">• home appliances/photo/cinema/sound: (18) major appliances, (19) small appliances, (20) photo/cinema, (21) hi-fi/sound, (22) TV/video,  </w:t>
        <w:br/>
        <w:t xml:space="preserve">• textile products: (23) textiles/shoes.  </w:t>
        <w:br/>
        <w:t>11. The decision-making practice has also distinguished dairy products and catering products. While leaving the question open, the Competition Authority has considered a market for</w:t>
      </w:r>
    </w:p>
    <w:p>
      <w:r>
        <w:rPr>
          <w:b/>
        </w:rPr>
        <w:t>[Pages 4–6]</w:t>
      </w:r>
    </w:p>
    <w:p>
      <w:r>
        <w:t>the supply of frozen products and ice creams and, within the latter, a specific market for the supply of ice creams.</w:t>
      </w:r>
    </w:p>
    <w:p>
      <w:r>
        <w:t>12. European decisional practice5 has also considered a segmentation of upstream supply markets based on distribution channels. In its Carrefour/Promodès decision, the European Commission6 noted that "there are serious indications to suggest that certain supply markets can also be defined based on distribution channels, such that the supply to the food-dominant retail sector could constitute an autonomous market." The Competition Authority has also considered the existence of a market for the supply of food products intended for the large-scale distribution channel and food-dominant retail7 (hereinafter GMS) as well as a market for the supply of food products intended for out-of-home catering8. The majority of respondents to the market test conducted for the purposes of the investigation consider that the supply of food products intended for the RHD constitutes a relevant market, given the specificity of this distribution channel, particularly with regard to the quality, range, and packaging methods of the products.</w:t>
      </w:r>
    </w:p>
    <w:p>
      <w:r>
        <w:t>13. The results of the market test, however, confirm that there is no need to apply a segmentation to the market for the supply of food products intended for the RHD based on the commercial positioning of the product (manufacturer brand (MDF), distributor brand (MDD), or entry-level brand (MPP)) as was considered by the decisional practice relating to GMS9. Indeed, for the majority of respondents, the final consumer of the RHD is not very sensitive to the brand of the products served to them, with the exception of a few rare supplier brands.</w:t>
      </w:r>
    </w:p>
    <w:p>
      <w:r>
        <w:t>14. In this case, the parties are simultaneously active as buyers in the supply markets of several categories of products, namely liquids (including dairy products), perfumery and hygiene products, dry grocery products, perishable self-service products, deli and butcher products, fruits and vegetables, fresh bakery and pastry products, catering products, and frozen products/ice creams.</w:t>
      </w:r>
    </w:p>
    <w:p>
      <w:r>
        <w:t>2. THE DOWNSTREAM MARKETS FOR THE DISTRIBUTION OF FOOD PRODUCTS TO THE RHD</w:t>
      </w:r>
    </w:p>
    <w:p>
      <w:r>
        <w:t>15. Downstream, regarding the wholesale distribution of food products, national and European decisional practice10 has repeatedly recognized the existence of distinct markets by distribution channel: firstly, large-scale distribution and food-dominant retail, secondly, the RHD, and finally, the agri-food industry. In this case, the parties involved are simultaneously active in the sector of food product distribution to the RHD.</w:t>
      </w:r>
    </w:p>
    <w:p>
      <w:r>
        <w:t>16. The RHD traditionally consists of cafés, hotels, and restaurants (hereinafter "CHR"), restaurant chains (corporate catering, etc.), and communities (hospitals, military, educational institutions, etc.) whose activity involves preparing and offering their clientele a particular mode of dining forming a menu, generally including a starter, a main course, cheese and/or a dessert.</w:t>
      </w:r>
    </w:p>
    <w:p>
      <w:r>
        <w:t>17. The European Commission11, while leaving the question open, has conducted competitive analyses on a general market for the wholesale distribution of food products to the RHD12, possibly segmented according to the mode of distribution (delivered distribution, wholesale self-service, and logistical services13), the category of clientele (national networks or independent operators), and the range of products (generalist distribution or specialized by product category).</w:t>
      </w:r>
    </w:p>
    <w:p>
      <w:r>
        <w:t>18. In its previous decisional practice, the Competition Authority considered that it was appropriate to distinguish between wholesale self-service warehouses (so-called "cash and carry") and traditional wholesale, given the differences observed on both the demand and supply sides. However, it emphasized the increasing competitive pressure of wholesale self-service on traditional wholesalers, as they offer broader product ranges and are gradually establishing delivery services. The majority of respondents to the market test conducted for the purposes of this operation consider that there is a general market for the wholesale distribution of food products to the RHD - in which traditional wholesalers and wholesale self-service operators are active - and that there is no longer a need to distinguish between traditional wholesale and wholesale self-service. An economic study conducted in 2016 at the request of the notifying party indicates that nearly 50% of RHD customers in France use both traditional wholesalers and wholesale self-service14, which thus tends to demonstrate the existence of a general market without distinction of the mode of distribution.</w:t>
      </w:r>
    </w:p>
    <w:p>
      <w:r>
        <w:t>19. In this case, the question of identifying a specific market for wholesale self-service can, however, be left open as it has no impact on the conclusions of the competitive analysis.</w:t>
      </w:r>
    </w:p>
    <w:p>
      <w:r>
        <w:t>20. A segmentation by type of customers has been considered15, distinguishing "large accounts" (restaurant chains and certain communities) "that negotiate global purchases on a national basis" and smaller clients (notably CHR) "whose supplies are made on a very short periodic basis." On the occasion of other decisions in which the Competition Authority conducted analyses focusing solely on a narrow market excluding wholesale self-service16, the Authority noted that, as the marketed products and delivery conditions were identical for these two categories of clientele, there was no need to retain two distinct markets. However, regarding the more general market for the wholesale distribution of food products to the RHD regardless of the mode of distribution, the majority of respondents to the market test consider that it is appropriate to operate a segmentation according to the size of the clients. The investigation also showed that large accounts in the RHD rely for a significant portion of their purchases on traditional wholesalers with whom they enter into contracts lasting one year or more and only resort to wholesale self-service for complementary or "emergency" purchases.</w:t>
      </w:r>
    </w:p>
    <w:p>
      <w:r>
        <w:t>21. The question can, however, be left open as it has no impact on the results of the competitive analysis.</w:t>
      </w:r>
    </w:p>
    <w:p>
      <w:r>
        <w:t>22. National decisional practice17 operates a segmentation by types of products distinguishing four main families within the wholesale trade of food products: (1) fresh products, (2) beverages, (3) frozen products and ice creams, (4) dry grocery products and confectionery (hereinafter "dry products"). The demand from the RHD generally encompasses all of these products, and wholesalers can offer a wide assortment of products. Nevertheless, many of them concentrate their activity on one of these families. The results of the market test confirm the relevance of a category-based approach.</w:t>
      </w:r>
    </w:p>
    <w:p>
      <w:r>
        <w:t>23. However, the majority of respondents to the market test consider that it is appropriate to operate an alternative segmentation between (i) generalist distributors offering a wide range of products and (ii) distributors specialized in certain product categories. The question can, however, be left open as it has no impact on the conclusions of the competitive analysis.</w:t>
      </w:r>
    </w:p>
    <w:p>
      <w:r>
        <w:t>24. In this case, the parties are simultaneously active in fresh products (fruits and vegetables; catering products; butter, eggs, cheese, and meat products); beverages (hot, cold, alcoholic) and dry products (confectionery, savory and sweet snacks). They are simultaneously active in the potential segment of generalist distribution.</w:t>
      </w:r>
    </w:p>
    <w:p>
      <w:r>
        <w:t>B. GEOGRAPHICAL MARKETS</w:t>
      </w:r>
    </w:p>
    <w:p>
      <w:r>
        <w:t>1. THE UPSTREAM MARKETS FOR THE SUPPLY OF FOOD PRODUCTS</w:t>
      </w:r>
    </w:p>
    <w:p>
      <w:r>
        <w:t>25. Decisional practice18 considers that the upstream markets for the supply of food products are of national dimension. It has thus found that given the preferences, tastes, and eating habits of consumers, price differences, variations in market shares held by the main operators according to member states, and the presence of manufacturer or distributor brands marketed only at the national level, it was not justified to retain a market of European dimension.</w:t>
      </w:r>
    </w:p>
    <w:p>
      <w:r>
        <w:t>26. The market test conducted in this case confirmed this delimitation.</w:t>
      </w:r>
    </w:p>
    <w:p>
      <w:r>
        <w:rPr>
          <w:b/>
        </w:rPr>
        <w:t>[Pages 7–9]</w:t>
      </w:r>
    </w:p>
    <w:p>
      <w:r>
        <w:t xml:space="preserve">2. THE DOWNSTREAM MARKETS FOR THE DISTRIBUTION OF FOOD PRODUCTS TO THE RHD  </w:t>
        <w:br/>
        <w:t xml:space="preserve">27. The decisional practice19 considers that the markets for the distribution of food products to the RHD have a dual dimension: a national dimension, resulting from the characteristics of the demand from major RHD accounts, which negotiate their supply conditions at the national level; and a local dimension leading to the determination of catchment areas in which wholesalers compete to meet the demand of CHR and local shops. In the context of examining operations concerning only traditional food wholesalers (excluding cash &amp; carry), the decisional practice20 has been able to analyze the effects of concentration operations within a radius around the delivery warehouses estimated to be between 60 and 300 kilometers in certain cases. In recent decisions21, the Competition Authority conducted its competitive analysis based on the distribution areas of the target's warehouses. The market test confirms the relevance of this dual analysis.  </w:t>
        <w:br/>
        <w:t xml:space="preserve">28. Regarding cash &amp; carry warehouses, the competition authorities have not had the opportunity to rule on the geographical dimension of the catchment areas. The majority of respondents to the market test believe that it is appropriate to delineate isochrone areas of one hour in driving time around the points of sale. However, this question may be left open in the case at hand, as it has no impact on the conclusions of the competitive analysis.  </w:t>
        <w:br/>
        <w:t xml:space="preserve">29. In this case, the market shares of the parties have been calculated based on the distribution areas of each of the target's warehouses. The target does not hold any cash &amp; carry warehouse except for two small self-service spaces adjacent to the warehouses in Chalette-sur-Loing (45) and Dole (39), and whose residual activity (less than […]% of the target's turnover) has not been distinguished from that of these warehouses for the purposes of this decision22. The notifying party indicates that the warehouses generate all of their turnover within the activity territory assigned to them. In each area, products are stored and prepared in a warehouse and are then transported to delivery platforms distributed across the warehouse's activity territory to reach the entire population.  </w:t>
        <w:br/>
        <w:t xml:space="preserve">30. The activity territories of Pro-à-Pro warehouses in which the parties are simultaneously active cover the following departments:  </w:t>
        <w:br/>
        <w:t xml:space="preserve">- Chalette-sur-Loing warehouse zone23 (45): Aube (10), Cher (18), Eure-et-Loir (28), Loir-et-Cher (41), Loiret (45), Nièvre (58), Paris (75), Yvelines (78), Yonne (89), Essonne (91), Hauts-de-Seine (92), Seine-Saint-Denis (93), Val-de-Marne (94), Val-D'oise (95);  </w:t>
        <w:br/>
        <w:t xml:space="preserve">- Chaponnay warehouse zone (69): Ain (01), Allier (03), Jura (38), Loire (42), Haute-Loire (43), Puy-de-Dôme (63); Rhône (69), Savoie (73), Haute-Savoie (74);  </w:t>
        <w:br/>
        <w:t xml:space="preserve">19 See all the aforementioned decisions of the Competition Authority.  </w:t>
        <w:br/>
        <w:t xml:space="preserve">20 Letter from the Minister of Economy C2008-119 dated December 4, 2008, to the Director of France Frais, regarding a concentration in the food distribution sector and decision n° 10-DCC-158 of November 22, 2010, cited above.  </w:t>
        <w:br/>
        <w:t xml:space="preserve">21 Decisions n°15-DCC-80 of June 26, 2015, and n° 15-DCC-141 of October 27, 2015, cited above.  </w:t>
        <w:br/>
        <w:t xml:space="preserve">22 This is a remnant of the cash &amp; carry activity that Colruyt France operated and abandoned in 2010 and 2011.  </w:t>
        <w:br/>
        <w:t xml:space="preserve">23 This warehouse specializes in dry products.  </w:t>
        <w:br/>
        <w:t xml:space="preserve">7  </w:t>
        <w:br/>
        <w:t xml:space="preserve">- Château-Gontier warehouse zone24 (53): Calvados (14), Ille-et-Vilaine (35), Indre (36), Isère (37), Loire-Atlantique (44), Maine-et-Loire (49), Manche (50), Mayenne (53), Orne (61), Sarthe (72), Vendée (85), Vienne (86);  </w:t>
        <w:br/>
        <w:t xml:space="preserve">- Dole warehouse zone (39): Aube (10), Côte d'Or (21), Doubs (25), Jura (39), Haute-Marne (52), Meurthe-et-Moselle (54), Meuse (55), Moselle (57), Haute-Saône (70), Saône-et-Loire (71), Vosges (88), Territoire de Belfort (90);  </w:t>
        <w:br/>
        <w:t xml:space="preserve">- Illkirch warehouse zone (67): Aube (10), Bas-Rhin (67), Haut-Rhin (68);  </w:t>
        <w:br/>
        <w:t xml:space="preserve">- Longueuil Sainte-Marie warehouse zone25 (60): Oise (60), Paris (75), Seine-et-Marne (77), Yvelines (78), Essonne (91), Hauts-de-Seine (92), Seine-Saint-Denis (93), Val-de-Marne (94), Val-D'oise (95);  </w:t>
        <w:br/>
        <w:t xml:space="preserve">- Miramas warehouse zone (13): Alpes-de-Haute-Provence (04), Hautes-Alpes (05), Alpes-Maritimes (06), Ardèche (07), Bouches-du-Rhône (13), Drôme (26), Gard (30), Hérault (34), Var (83), Vaucluse (84);  </w:t>
        <w:br/>
        <w:t xml:space="preserve">- Montauban warehouse zone (82): Ariège (09), Aude (11), Aveyron (12), Cantal (15), Charente (16), Charente-Maritime (17), Corrèze (19), Creuse (23), Dordogne (24), Haute-Garonne (31), Gers (32), Gironde (33), Landes (40), Lot (46), Lot-et-Garonne (47), Lozère (48), Pyrénées-Atlantiques (64), Hautes-Pyrénées (65), Tarn (81), Tarn-et-Garonne (82), Haute-Vienne (87);  </w:t>
        <w:br/>
        <w:t xml:space="preserve">- Perpignan warehouse zone (66): Aude (11), Hérault (34), Pyrénées-Orientales (66);  </w:t>
        <w:br/>
        <w:t xml:space="preserve">- Rungis warehouse zone (94): Paris (75), Yvelines (78), Essonne (91), Hauts-de-Seine (92), Seine-Saint-Denis (93), Val-de-Marne (94), Val-D'oise (95).  </w:t>
        <w:br/>
        <w:t xml:space="preserve">III. Competitive Analysis  </w:t>
        <w:br/>
        <w:t xml:space="preserve">A. HORIZONTAL ANALYSIS OF THE UPSTREAM MARKETS FOR FOOD SUPPLY  </w:t>
        <w:br/>
        <w:t xml:space="preserve">1. MARKET SHARES OF THE PARTIES  </w:t>
        <w:br/>
        <w:t xml:space="preserve">31. In the upstream markets for food supply, across all distribution channels, the market shares of the new entity will not exceed [0-5]%, regardless of the product category considered. In the RHD channel alone, the market shares of the new entity will be between [0-5] and [10-20]% depending on the product categories concerned, with the operation resulting in only limited increments of market shares [0-5 points).  </w:t>
        <w:br/>
        <w:t xml:space="preserve">24 This warehouse specializes in fresh products.  </w:t>
        <w:br/>
        <w:t xml:space="preserve">25 This warehouse specializes in fresh products.  </w:t>
        <w:br/>
        <w:t xml:space="preserve">8  </w:t>
        <w:br/>
        <w:t xml:space="preserve">32. The national consultative practice26 has noted that the brand is not always the most suitable criterion for assessing the purchasing power of distribution in the supply market and that, on the contrary, the analysis of concentration can be carried out at the level of purchasing and referencing centers that offer their members identical purchasing conditions. Thus, it is appropriate to take into account in the competitive analysis all the mandates entrusted to the referencing or purchasing centers of the parties in the competitive analysis.  </w:t>
        <w:br/>
        <w:t xml:space="preserve">33. The Auchan group has entered into two partnership agreements with the Metro group: (i) in 201027 regarding the negotiation of supply conditions for certain private label products in France [confidential]; (ii) in 201528 regarding the joint negotiation of purchasing conditions in France for the main common suppliers of national brand products. Furthermore, Système U Centrale Nationale entrusted Eurauchan (the purchasing center of the Auchan group) in 2014 with a mandate for negotiating the purchases of a portion of the national brand products marketed by its brands29.  </w:t>
        <w:br/>
        <w:t xml:space="preserve">34. Taking into account the purchasing partnerships concluded between Auchan and Metro, on the one hand, and between Auchan and Système U, on the other hand, the aggregated market shares of this single buyer in the upstream supply markets across all distribution channels will be, in the most conservative scenario, between [0-5] and [10-20]%, with a market share increment attributable to Pro-à-Pro between [0-5] points.  </w:t>
        <w:br/>
        <w:t xml:space="preserve">2. ECONOMIC DEPENDENCE OF SUPPLIERS  </w:t>
        <w:br/>
        <w:t xml:space="preserve">35. The operation takes place in markets where supply is much less concentrated than demand and could therefore have the effect of placing some of its suppliers in a situation of economic dependence. This risk is assessed in light of the share that a market outlet represents in the supplier's total sales. The competition authorities consider that there is a "threshold of threat" beyond which the survival of the manufacturer may be at stake, the disappearance of this outlet pushing, sooner or later, the supplier into a difficult financial situation, even towards bankruptcy. The level of this threshold is not fixed and depends on a large number of specific parameters according to the sectors concerned, the structure and financial situation of the companies, the existence and cost of potential alternative solutions30. This threshold has been set at 22% during the examination of operations in the food retail sector31.  </w:t>
        <w:br/>
        <w:t xml:space="preserve">36. In this case, out of the ninety respondents to the market test, only one supplier exceeds this threshold of 22%. When taking into account Auchan's partnerships with Metro and Système U, the operation brings two suppliers to exceed the threat threshold. One of these suppliers generates less than 5% of its turnover with Pro-à-Pro and considers the consequences of the operation for its activity to be neutral. The second concerned supplier generates 5.3% of its turnover with Pro-à-Pro and does not assert the existence of a threat to the  </w:t>
        <w:br/>
        <w:t xml:space="preserve">26 Competition Council, opinion n°97A-04 of January 21, 1997, regarding various issues concerning the concentration of distribution.  </w:t>
        <w:br/>
        <w:t xml:space="preserve">27 Agreement of June 28, 2010.  </w:t>
        <w:br/>
        <w:t xml:space="preserve">28 Agreement of October 15, 2015.  </w:t>
        <w:br/>
        <w:t xml:space="preserve">29 Negotiation mandate contract of September 10, 2014.  </w:t>
        <w:br/>
        <w:t xml:space="preserve">30 Guidelines of the Competition Authority regarding the control of concentrations, §500.  </w:t>
        <w:br/>
        <w:t xml:space="preserve">31 See, for example, the decision of the Commission Rewe/Meinl cited above and the decision of the Competition Authority n° 11-DCC-134 of September 2, 2011, regarding the exclusive control of assets of the Louis Delhaize group by Groupe Bernard Hayot.  </w:t>
        <w:br/>
        <w:t>9</w:t>
      </w:r>
    </w:p>
    <w:p>
      <w:r>
        <w:rPr>
          <w:b/>
        </w:rPr>
        <w:t>[Pages 10–12]</w:t>
      </w:r>
    </w:p>
    <w:p>
      <w:r>
        <w:t>continuity of its activities, although it expresses some reservations about the consequences of the operation for its activity.</w:t>
      </w:r>
    </w:p>
    <w:p>
      <w:r>
        <w:t>37. In any case, as specified by the guidelines of the Authority regarding the control of concentrations, "in itself, economic dependence does not constitute an infringement of competition unless it has an effect on competition in a market and, ultimately, on consumer surplus, and not simply on a supplier, to the extent that the objective of competition authorities is not to protect a company as such, whether it is a competitor, customer, or supplier"32.</w:t>
      </w:r>
    </w:p>
    <w:p>
      <w:r>
        <w:t>38. In this case, the operation only marginally increases the position of the new entity as a buyer in the upstream supply markets and is therefore not likely to harm competition in these markets.</w:t>
      </w:r>
    </w:p>
    <w:p>
      <w:r>
        <w:t>B. HORIZONTAL ANALYSIS ON THE DOWNSTREAM MARKETS OF FOOD DISTRIBUTION TO THE RHD</w:t>
      </w:r>
    </w:p>
    <w:p>
      <w:r>
        <w:t>39. The target operates the Unifrais distribution network33 which includes seven third-party affiliates34. The market share of these affiliates should only be integrated into that of Colruyt France if they do not have sufficient commercial autonomy relative to the head of the network to exert competitive pressure on the integrated warehouses. However, this question may be left open in this case, as the results of the competitive analysis remain unchanged whether or not the activity of the affiliates is included in the market share of the new entity. The following market shares take into account the entire Unifrais network, the most conservative assumption.</w:t>
      </w:r>
    </w:p>
    <w:p>
      <w:r>
        <w:t>At the national level</w:t>
      </w:r>
    </w:p>
    <w:p>
      <w:r>
        <w:t>40. In the wholesale distribution market for food products to the RHD, across all modes of distribution, the market share of the new entity, according to the notifying party's estimates, is between [10-20]% and [10-20]% following the operation. However, for all sub-segments of products, the notifying party has not been able to provide precise market share data. It estimates, however, that the market share of the new entity is in any case below 20% across all markets of products considered by the decision-making practice.</w:t>
      </w:r>
    </w:p>
    <w:p>
      <w:r>
        <w:t>41. The new entity will face competition from significant national operators such as Pomona [10-20]%, Transgourmet [5-10]%, C10 [5-10]%, Gedal, Brake [0-5]%, France frais [0-5]%, Promocash [0-5]%, Relais Miko d’Or [0-5]%, Even, Graal, DGF, and Back Europe.</w:t>
      </w:r>
    </w:p>
    <w:p>
      <w:r>
        <w:t>42. In the market for all products combined, segmenting according to the RHD customer category between large accounts and smaller clients, the market share of the new entity will be [5-10]% with an increment of [0-5] points for large accounts and [10-20]% with an increment of [0-5] points for smaller clients.</w:t>
      </w:r>
    </w:p>
    <w:p>
      <w:r>
        <w:t>43. In a potential segment of general food distribution to the RHD, the market share of the new entity will be [20-30]% at the national level, with an increment of [5-10] points. The new entity will face competition in these markets from the main players in general distribution (Pomona, Transgourmet, Gedal, Brake, France frais, Even, Graal, DGF, Back Europe, and Promocash).</w:t>
      </w:r>
    </w:p>
    <w:p>
      <w:r>
        <w:t>At the local level</w:t>
      </w:r>
    </w:p>
    <w:p>
      <w:r>
        <w:t>44. In each of the twelve distribution zones of Colruyt France, the market share of the new entity is between [10-20]% and [20-30]%36. In all these zones, the new entity will be exposed to competition from the main players in general distribution (Pomona, Transgourmet, Gedal, Brake, France frais, Even, Graal, DGF, Back Europe, and Promocash) and several specialized distributors (notably Cercle vert, Lefort, Jacquier, Blanchin, Central gros, Lorraine Service, Distrilait, Capal, Distrisud, Cofrapex, Fromafruit, Lodifrais, Alpagel, Deroche, Poupart, Team ouest, Desailly, Prenot).</w:t>
      </w:r>
    </w:p>
    <w:p>
      <w:r>
        <w:t>45. In the market for all products combined, segmenting according to the RHD customer category between large accounts and smaller clients, the market share of the new entity will be between [5-10]% and [10-20]% for large accounts, and between [10-20]% and [20-30]% for smaller clients.</w:t>
      </w:r>
    </w:p>
    <w:p>
      <w:r>
        <w:t>46. In a potential segment of general food distribution to the RHD, the market share of the new entity will be between [20-30]% at the local level, with the operation resulting in a market share increment of between [5-10] points. The new entity will face competition in these markets from the main players in general distribution (Pomona, Transgourmet, Gedal, Brake, France frais, Even, Graal, DGF, Back Europe, and Promocash).</w:t>
      </w:r>
    </w:p>
    <w:p>
      <w:r>
        <w:t>47. Given these limited market shares, the operation is not likely to lead to anti-competitive effects in the various markets for wholesale distribution of food products to the RHD.</w:t>
      </w:r>
    </w:p>
    <w:p>
      <w:r>
        <w:t>C. ANALYSIS OF CONGLOMERATE EFFECTS</w:t>
      </w:r>
    </w:p>
    <w:p>
      <w:r>
        <w:t>48. A concentration is likely to lead to conglomerate effects when the new entity extends or strengthens its presence in markets that are connected to other markets where it holds market power. However, the guidelines of the Authority indicate that it is unlikely for a concentration to pose a risk of conglomerate effect if the new entity does not have a strong position in a market from which it can leverage an effect and refer, in this regard, to a threshold of 30% market share.</w:t>
      </w:r>
    </w:p>
    <w:p>
      <w:r>
        <w:t>49. In this case, the market shares of the parties are below 30%37 across all considered markets, regardless of segmentation, at both the national and local levels.</w:t>
      </w:r>
    </w:p>
    <w:p>
      <w:r>
        <w:t>50. In this case, the operation is not likely to harm competition through conglomerate effects.</w:t>
      </w:r>
    </w:p>
    <w:p>
      <w:r>
        <w:t>DECIDES</w:t>
      </w:r>
    </w:p>
    <w:p>
      <w:r>
        <w:t>Article unique: The operation notified under number 16-235 is authorized.</w:t>
      </w:r>
    </w:p>
    <w:p>
      <w:r>
        <w:t>The President,</w:t>
        <w:br/>
        <w:t>Isabelle de Silva</w:t>
        <w:br/>
        <w:t>© Authority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