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https://www.autoritedelaconcurrence.fr/fr/decision-de-controle-des-concentrations/relative-la-prise-de-controle-de-deux-fonds-de-commerce-par</w:t>
      </w:r>
    </w:p>
    <w:p>
      <w:r>
        <w:t>Pages translated : 4</w:t>
      </w:r>
    </w:p>
    <w:p/>
    <w:p>
      <w:r>
        <w:rPr>
          <w:b/>
        </w:rPr>
        <w:t>[Pages 1–3]</w:t>
      </w:r>
    </w:p>
    <w:p>
      <w:r>
        <w:t xml:space="preserve">FRENCH REPUBLIC  </w:t>
        <w:br/>
        <w:t xml:space="preserve">Decision No. 14-DCC-19 of February 18, 2014  </w:t>
        <w:br/>
        <w:t xml:space="preserve">regarding the acquisition of two businesses by the company  </w:t>
        <w:br/>
        <w:t xml:space="preserve">Vulcain  </w:t>
        <w:br/>
        <w:t xml:space="preserve">The Competition Authority,  </w:t>
        <w:br/>
        <w:t xml:space="preserve">Having regard to the notification file submitted in full to the merger service on January 15, 2014,  </w:t>
        <w:br/>
        <w:t xml:space="preserve">regarding the exclusive control of two businesses by the company Vulcain from  </w:t>
        <w:br/>
        <w:t xml:space="preserve">Société Commerciale Automobile, a subsidiary of PSA, formalized by two transfer agreements dated December 10, 2013;  </w:t>
        <w:br/>
        <w:t xml:space="preserve">Having regard to Book IV of the Commercial Code relating to the freedom of prices and competition, and  </w:t>
        <w:br/>
        <w:t xml:space="preserve">notably its Articles L. 430-1 to L. 430-7;  </w:t>
        <w:br/>
        <w:t xml:space="preserve">Adopts the following decision:  </w:t>
        <w:br/>
        <w:t xml:space="preserve">I. The companies concerned and the operation  </w:t>
        <w:br/>
        <w:t xml:space="preserve">1. Vulcain SAS heads a group of companies active in the automotive distribution of brands Opel, Chevrolet, Volvo, Suzuki, Honda, Kia, Mitsubishi, Volkswagen, and Land Rover in the departments of Isère (38), Loire (42), Puy-de-Dôme (63), Rhône (69), and Paris (75). The company Vulcain is itself controlled by the company Talas, a holding of the Rinaudo family.  </w:t>
        <w:br/>
        <w:t xml:space="preserve">2. The target businesses, located in Clermont-Ferrand and Issoire (63), are owned by Société Commerciale Citroën SAS, a subsidiary of the PSA group. These Citroën brand dealerships are active in the distribution of new passenger vehicles intended for individual and professional customers, the distribution of used passenger vehicles, the distribution of spare parts and automotive accessories, and the distribution of maintenance and repair services for motor vehicles.  </w:t>
        <w:br/>
        <w:t xml:space="preserve">3. By two transfer agreements dated December 10, 2013, the Vulcain group and Société Commerciale Citroën agreed on the transfer of ownership of the businesses in Clermont-Ferrand and Issoire (63).  </w:t>
        <w:br/>
        <w:t xml:space="preserve">4. As it results in the exclusive control of the two businesses by the Vulcain company, the notified operation constitutes a concentration within the meaning of Article L. 430-1 of the Commercial Code.  </w:t>
        <w:br/>
        <w:t xml:space="preserve">5. The companies concerned together achieve a total worldwide turnover of more than 75 million euros (Talas: 180.4 million euros for the fiscal year ending December 31, 2012; target businesses: 65.8 million euros for the same fiscal year). At least two of these companies achieve a turnover in France exceeding 15 million euros in the retail sector (Talas: 180.4 million euros for the fiscal year ending December 31, 2012; target businesses: 65.8 million euros for the same fiscal year). Given the turnover of the companies concerned, it does not have a community dimension. However, the control thresholds mentioned in point II of Article L. 430-2 of the Commercial Code are exceeded. The present operation is therefore subject to the provisions of Articles L. 430-3 and following of the Commercial Code relating to economic concentration.  </w:t>
        <w:br/>
        <w:t xml:space="preserve">II. Delimitation of relevant markets  </w:t>
        <w:br/>
        <w:t xml:space="preserve">A. DELIMITATION OF PRODUCT AND SERVICE MARKETS  </w:t>
        <w:br/>
        <w:t xml:space="preserve">6. In the automotive distribution sector, decision-making practice distinguishes (i) the distribution of new passenger vehicles intended for individual customers; (ii) the distribution of new passenger vehicles intended for professional customers; (iii) the distribution of commercial vehicles; (iv) the distribution of used vehicles; (v) the distribution of spare parts and automotive accessories; (vi) the distribution of maintenance and repair services for motor vehicles; (vii) the distribution of rental services.  </w:t>
        <w:br/>
        <w:t xml:space="preserve">7. There is no need to challenge these delimitations during the examination of the present operation.  </w:t>
        <w:br/>
        <w:t xml:space="preserve">8. The companies concerned are simultaneously present in six of these markets, namely (i) the distribution of new passenger vehicles intended for individual customers; (ii) the distribution of new passenger vehicles intended for professional customers; (iii) the distribution of commercial vehicles; (iv) the distribution of used vehicles; (v) the distribution of spare parts and automotive accessories; (vi) the distribution of maintenance and repair services for motor vehicles.  </w:t>
        <w:br/>
        <w:t xml:space="preserve">1 See in particular Decision No. 09-DCC-01 of the Competition Authority of April 8, 2009, and Decision No. 10-DCC-23 of March 1, 2010.  </w:t>
        <w:br/>
        <w:t>2</w:t>
      </w:r>
    </w:p>
    <w:p>
      <w:r>
        <w:t xml:space="preserve">B. GEOGRAPHICAL DELIMITATION OF MARKETS  </w:t>
        <w:br/>
        <w:t xml:space="preserve">9. Regarding the retail sale of motor vehicles, new or used, spare parts and automotive accessories, maintenance and repair services for motor vehicles, decision-making practice retains a local definition, with the analysis generally conducted at the departmental level.  </w:t>
        <w:br/>
        <w:t xml:space="preserve">10. In the present case, the parties are simultaneously active in the department of Puy-de-Dôme (63).  </w:t>
        <w:br/>
        <w:t xml:space="preserve">III. Competitive Analysis  </w:t>
        <w:br/>
        <w:t xml:space="preserve">11. Concerning the calculation of market shares, decision-making practice uses as an indicator the ratio between the sales of new vehicles made by the parties in the departments concerned by the operation and the total registrations of new vehicles recorded in these same departments by the prefectures.  </w:t>
        <w:br/>
        <w:t xml:space="preserve">12. In the markets for the distribution of new passenger vehicles to individual customers, the distribution of new commercial vehicles, the distribution of commercial vehicles, and the distribution of used vehicles, in the department of Puy-de-Dôme (63), the combined market shares of the parties remain below 20%, regardless of the market concerned.  </w:t>
        <w:br/>
        <w:t xml:space="preserve">13. In the market for the retail sale of spare parts and automotive accessories and in the market for maintenance and repair services for motor vehicles, the parties have not been able to produce their market shares. However, it should be noted that the Vulcain Group will face competition from numerous independent garages and repairers and specialized brands such as Speedy, Norauto, Midas, Feu Vert, or Centre AD, which may offer consumers identical or equivalent quality spare parts and accessories, as well as maintenance and repair services for motor vehicles similar to those distributed by the Vulcain group.  </w:t>
        <w:br/>
        <w:t xml:space="preserve">14. Given the above elements, the operation is not likely to harm competition in the relevant markets.  </w:t>
        <w:br/>
        <w:t xml:space="preserve">2 See the aforementioned decisions.  </w:t>
        <w:br/>
        <w:t xml:space="preserve">3 See the aforementioned decisions.  </w:t>
        <w:br/>
        <w:t>3</w:t>
      </w:r>
    </w:p>
    <w:p>
      <w:r>
        <w:rPr>
          <w:b/>
        </w:rPr>
        <w:t>[Pages 4–4]</w:t>
      </w:r>
    </w:p>
    <w:p>
      <w:r>
        <w:t xml:space="preserve">DECIDES  </w:t>
        <w:br/>
        <w:t xml:space="preserve">Sole Article: The operation notified under number 14-005 is authorized.  </w:t>
        <w:br/>
        <w:t xml:space="preserve">The President,  </w:t>
        <w:br/>
        <w:t xml:space="preserve">Bruno Lasserre  </w:t>
        <w:br/>
        <w:t xml:space="preserve">© Competition Authority  </w:t>
        <w:br/>
        <w:t>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