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https://www.autoritedelaconcurrence.fr/fr/decision-de-controle-des-concentrations/relative-la-prise-de-controle-de-dix-societes-appartenant</w:t>
      </w:r>
    </w:p>
    <w:p>
      <w:r>
        <w:t>Pages translated : 2</w:t>
      </w:r>
    </w:p>
    <w:p/>
    <w:p>
      <w:r>
        <w:rPr>
          <w:b/>
        </w:rPr>
        <w:t>[Pages 1–2]</w:t>
      </w:r>
    </w:p>
    <w:p>
      <w:r>
        <w:t>FRENCH REPUBLIC</w:t>
        <w:br/>
        <w:t>Decision No. 24-DCC-26 of February 15, 2024</w:t>
        <w:br/>
        <w:t>regarding the acquisition of control of ten companies belonging to the Capriona group by the company United Basalt Products</w:t>
        <w:br/>
        <w:t>The Competition Authority,</w:t>
        <w:br/>
        <w:t>Having regard to the complete notification file sent to the mergers department on January 23, 2024, concerning the acquisition of control of ten companies belonging to the Capriona group by the company United Basalt Products, formalized by an acquisition agreement dated July 7, 2022;</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acquisition of control by the company United Basalt Products of the companies Préfabéton, Sigemat, Incudine, Soreco, J. Anzemberg, Dimatechniques, ACM, ALD Anzemberg, Siginvest 2012, and Prefinvest, active in particular in the production of precast concrete, the extraction and crushing of alluvial materials, and the trading of construction materials in La Réunion and Mayotte. The operation constitutes a concentration within the meaning of Article L. 430-1 of the Commercial Code. Given the turnover generated by the companies concerned, the operation does not fall under the jurisdiction of the European Union. However, the control thresholds mentioned in III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23-264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