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https://www.autoritedelaconcurrence.fr/fr/decision-de-controle-des-concentrations/relative-la-prise-de-controle-de-la-societe-bsa-par-le</w:t>
      </w:r>
    </w:p>
    <w:p>
      <w:r>
        <w:t>Pages translated : 2</w:t>
      </w:r>
    </w:p>
    <w:p/>
    <w:p>
      <w:r>
        <w:rPr>
          <w:b/>
        </w:rPr>
        <w:t>[Pages 1–2]</w:t>
      </w:r>
    </w:p>
    <w:p>
      <w:r>
        <w:t xml:space="preserve">FRENCH REPUBLIC  </w:t>
        <w:br/>
        <w:t xml:space="preserve">Decision No. 16-DCC-15 of February 10, 2016  </w:t>
        <w:br/>
        <w:t xml:space="preserve">regarding the acquisition of control of the company BSA by the Dubreuil group  </w:t>
        <w:br/>
        <w:t xml:space="preserve">The Competition Authority,  </w:t>
        <w:br/>
        <w:t xml:space="preserve">Having regard to the complete notification file submitted to the mergers department on January 12, 2016, concerning the acquisition of exclusive control of the company BSA by the Dubreuil group, formalized by a transfer agreement dated November 6,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exclusive control of the company BSA, operating three Opel brand car dealerships in the department of Loire-Atlantique (44), by the Dubreuil group, which is itself active in the automobile distribution sector in the departments of Eure et Loire (28), Sarthe (72), Maine et Loire (49), Vendée (85), Deux-Sèvres (79), Charente-Maritime (17), Charente (16), Loire-Atlantique (44), and Ille et Vilaine (35).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15-229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