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https://www.autoritedelaconcurrence.fr/fr/decision-de-controle-des-concentrations/relative-la-prise-de-controle-de-la-societe-calfo-par-les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19-DCC-156 of August 1, 2019  </w:t>
        <w:br/>
        <w:t xml:space="preserve">regarding the acquisition of control of the company Calfo by the companies  </w:t>
        <w:br/>
        <w:t>Sesyclau and ITM Entreprises</w:t>
      </w:r>
    </w:p>
    <w:p>
      <w:r>
        <w:t>The Competition Authority,</w:t>
      </w:r>
    </w:p>
    <w:p>
      <w:r>
        <w:t xml:space="preserve">Having regard to the complete notification file sent to the mergers department on July 9, 2019,  </w:t>
        <w:br/>
        <w:t xml:space="preserve">concerning the joint acquisition of control of the company Calfo by the companies Sesyclau and ITM  </w:t>
        <w:br/>
        <w:t xml:space="preserve">Entreprises, and formalized by a memorandum of understanding dated February 15, 2019;  </w:t>
        <w:br/>
        <w:t xml:space="preserve">Having regard to Book IV of the Commercial Code relating to the freedom of prices and competition, and  </w:t>
        <w:br/>
        <w:t>in particular its Articles L. 430-1 to L. 430-7;</w:t>
      </w:r>
    </w:p>
    <w:p>
      <w:r>
        <w:t>Adopts the following decision:</w:t>
      </w:r>
    </w:p>
    <w:p>
      <w:r>
        <w:t xml:space="preserve">1. The notified operation consists of the joint acquisition of control by the companies Sesyclau and ITM  </w:t>
        <w:br/>
        <w:t xml:space="preserve">Entreprises of the company Calfo, which operates a food-dominant retail outlet of the supermarket type,  </w:t>
        <w:br/>
        <w:t xml:space="preserve">with an area of 2088 m², under the Intermarché Super brand and located in Argenton-sur-Creuse (36).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 </w:t>
        <w:br/>
        <w:t xml:space="preserve">jurisdiction of the European Union. On the other hand, the retail control thresholds mentioned in  </w:t>
        <w:br/>
        <w:t xml:space="preserve">point II of Article L. 430-2 of the Commercial Code are exceeded. This operation is therefore subject  </w:t>
        <w:br/>
        <w:t>to the provisions of Articles L. 430-3 and following of the Commercial Code relating to economic concentration.</w:t>
      </w:r>
    </w:p>
    <w:p>
      <w:r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19-181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