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https://www.autoritedelaconcurrence.fr/fr/decision-de-controle-des-concentrations/relative-la-prise-de-controle-de-la-societe-coparc-sa-par</w:t>
      </w:r>
    </w:p>
    <w:p>
      <w:r>
        <w:t>Pages translated : 3</w:t>
      </w:r>
    </w:p>
    <w:p/>
    <w:p>
      <w:r>
        <w:rPr>
          <w:b/>
        </w:rPr>
        <w:t>[Pages 1–3]</w:t>
      </w:r>
    </w:p>
    <w:p>
      <w:r>
        <w:t xml:space="preserve">FRENCH REPUBLIC  </w:t>
        <w:br/>
        <w:t xml:space="preserve">Decision No. 11-DCC-155 of October 24, 2011  </w:t>
        <w:br/>
        <w:t xml:space="preserve">regarding the takeover of the company Coparc SA by the company  </w:t>
        <w:br/>
        <w:t xml:space="preserve">Apicil Prévoyance  </w:t>
        <w:br/>
        <w:t xml:space="preserve">The Competition Authority,  </w:t>
        <w:br/>
        <w:t xml:space="preserve">Having regard to the notification file submitted in full to the merger service on  </w:t>
        <w:br/>
        <w:t xml:space="preserve">September 22, 2011, concerning the takeover of the company Coparc SA by the company Apicil  </w:t>
        <w:br/>
        <w:t xml:space="preserve">Prévoyance, formalized by a protocol signed on August 23, 2011;  </w:t>
        <w:br/>
        <w:t xml:space="preserve">Having regard to Book IV of the Commercial Code relating to price and competition freedom,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Apicil Prévoyance is a provident institution governed by Title III of Book IX of the Social Security Code and is part of the Apicil social protection group. Apicil has a summit association that determines the political and strategic orientations of the group and is composed of two supplementary retirement institutions AGIRA Retraites des salariés (ARCCO) and AGIRA Retraites des cadres (AGIRC), a provident institution (Apicil Prévoyance) that controls five subsidiaries with commercial activities (an insurance company and four brokerage firms in various fields of supplementary social protection), six mutuals (Integrance, GRM, Mutralya, Sud Ouest Mutualité, Micils, and Premiris) through a mutual union, UMIGA, as well as a joint provident grouping, GPP Confluent. The human and material resources of the group are gathered around an association APICIL Gestion, the GIE GIPS for IT, and the association Actil for the use of a third-party payment service platform. Apicil Gestion manages the resources to be implemented for the proper functioning of the various institutions of the Apicil group. The Apicil Upese association was created to meet the application conditions of the "Madelin" law. The Apicil group is active in the sectors of mandatory supplementary retirement and personal insurance.  </w:t>
        <w:br/>
        <w:t xml:space="preserve">2. Coparc is a public limited company, currently owned by Allianz France, active in the individual life insurance sector. Its products are distributed by the brokerage firm W Finance.  </w:t>
        <w:br/>
        <w:t xml:space="preserve">3. Under the protocol signed on August 23, 2011, Apicil Prévoyance will acquire all the capital and voting rights of the company Coparc no later than December 31, 2011.  </w:t>
        <w:br/>
        <w:t xml:space="preserve">4. As it results in the takeover of the company Coparc SA by the company Apicil Prévoyance, the notified operation constitutes a concentration within the meaning of Article L. 430-1 of the Commercial Code.  </w:t>
        <w:br/>
        <w:t xml:space="preserve">5. The companies concerned together achieve a total worldwide turnover of more than 150 million euros (Apicil: […] million euros for the fiscal year ending December 31, 2010; Coparc: […] million euros for the same fiscal year) and each achieves, in France, a turnover exceeding 50 million euros (Apicil: […] million euros for the fiscal year ending December 31, 2010; Coparc: […] million euros for the same fiscal year).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6. National and community competition authorities distinguish between the markets for personal insurance, property insurance, and reinsurance. Regarding the first two categories of products, competition authorities have estimated that they can be segmented into as many markets as there are insurances covering different types of risks, insofar as, from the demand perspective, insurances covering these different risks are not substitutable.  </w:t>
        <w:br/>
        <w:t xml:space="preserve">7. The parties to the operation are simultaneously present in personal insurance. However, in this market, an additional segmentation is made between group insurance contracts, concluded between an insurer and a subscriber distinct from the beneficiary, and individual insurance contracts for which the subscriber is also the beneficiary.  </w:t>
        <w:br/>
        <w:t xml:space="preserve">8. In this case, the parties are simultaneously active in the individual life insurance market.  </w:t>
        <w:br/>
        <w:t xml:space="preserve">9. In any event, the exact definition of the market concerned by this decision can be left open, as the conclusions of the competitive analysis will remain unchanged regardless of the segmentations retained.  </w:t>
        <w:br/>
        <w:t xml:space="preserve">10. Regarding the geographical delimitation of the markets, except for certain insurances covering large-scale risks, the insurance product markets have been considered to be of national dimension given consumer preferences, the existence of national legislation and tax constraints, the current structure of these markets, or the regulatory systems.  </w:t>
        <w:br/>
        <w:t xml:space="preserve">11. There is no need to challenge these delimitations in the context of the present operation.  </w:t>
        <w:br/>
        <w:t xml:space="preserve">III. Competitive analysis  </w:t>
        <w:br/>
        <w:t xml:space="preserve">12. Following the notified operation, the combined market share of the parties will be less than [0-5]% in the individual life insurance market.  </w:t>
        <w:br/>
        <w:t xml:space="preserve">13. Furthermore, the entity resulting from the notified operation will face competition from numerous players whose market shares are larger than those of the new entity. Thus, the main competitors of the parties include notably CNP, Crédit Agricole, Axa, BNP Paribas, Generali France, Société Générale.  </w:t>
        <w:br/>
        <w:t xml:space="preserve">14. Therefore, the operation is not likely to harm competition in the individual life insurance market.  </w:t>
        <w:br/>
        <w:t xml:space="preserve">DECIDES  </w:t>
        <w:br/>
        <w:t xml:space="preserve">Sole Article: The operation notified under number 11-0159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