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https://www.autoritedelaconcurrence.fr/fr/decision-de-controle-des-concentrations/relative-la-prise-de-controle-de-la-societe-dexploitation</w:t>
      </w:r>
    </w:p>
    <w:p>
      <w:r>
        <w:t>Pages translated : 4</w:t>
      </w:r>
    </w:p>
    <w:p/>
    <w:p>
      <w:r>
        <w:rPr>
          <w:b/>
        </w:rPr>
        <w:t>[Pages 1–3]</w:t>
      </w:r>
    </w:p>
    <w:p>
      <w:r>
        <w:t xml:space="preserve">FRENCH REPUBLIC  </w:t>
        <w:br/>
        <w:t xml:space="preserve">Decision No. 10-DCC-181 of December 13, 2010  </w:t>
        <w:br/>
        <w:t xml:space="preserve">regarding the acquisition of control of the operating company of the Futuroscope Park by the Compagnie des Alpes  </w:t>
        <w:br/>
        <w:t xml:space="preserve">The Competition Authority,  </w:t>
        <w:br/>
        <w:t xml:space="preserve">Having regard to the notification file submitted in full to the mergers service on November 15, 2010, regarding the exclusive control of the operating company of the Futuroscope Park by the Compagnie des Alpes, formalized by a memorandum of understanding between the department of Vienne, the Compagnie des Alpes, and the Caisse des dépôts et consignations dated October 29, 2010;  </w:t>
        <w:br/>
        <w:t xml:space="preserve">Having regard to Book IV of the Commercial Code relating to price freedom and competition, and in particular Articles L. 430-1 to L. 430-7;  </w:t>
        <w:br/>
        <w:t xml:space="preserve">Adopts the following decision:  </w:t>
        <w:br/>
        <w:t xml:space="preserve">I. The concerned companies and the operation  </w:t>
        <w:br/>
        <w:t xml:space="preserve">1. The Compagnie des Alpes (hereinafter "CDA") is a public limited company operating ski areas and leisure attractions (in France: Grévin Museum, France Miniature, Ecomusée d’Alsace, Mer de Sable, Bioscope, Planète Sauvage, Walibi Aquitaine, Walibi Rhône-Alpes, Bagatelle, Parc Astérix, Aquarium of Saint-Malo, Mini Châteaux and Aquarium of the Loire Valley). It also operates several leisure attractions abroad. The CDA is controlled by the Caisse des dépôts et consignations (hereinafter "CDC"), a public institution governed by Articles L. 518-2 and following of the Monetary and Financial Code, fulfilling missions of general interest in support of public policies conducted by the State and local authorities and engaging in activities open to competition. These are grouped around four poles: (i) personal insurance, (ii) real estate, (iii) services, notably through the Compagnie des Alpes, and (iv) the development of SMEs and private equity.  </w:t>
        <w:br/>
        <w:t xml:space="preserve">2. The operating company of the Futuroscope Park (hereinafter "operating company of Futuroscope") is a mixed economy company whose main shareholders are the department of Vienne (approximately 70% of the capital) and the CDC (approximately 21%). This company manages the Futuroscope, a park whose attractions are based on multimedia, cinematographic, audiovisual, and robotic techniques of the future, as well as the convention center through its subsidiary SA Palais des Congrès1.  </w:t>
        <w:br/>
        <w:t xml:space="preserve">3. The department of Vienne, the CDA, and the CDC agreed within the framework of a memorandum of understanding dated October 29, 2010, to transfer part of the shares of the department and the CDC in the operating company of Futuroscope to a new mixed economy company (hereinafter "New SEM") and to proceed with the acquisition, by the CDA, of part of the remaining shares of the department [Confidential].  </w:t>
        <w:br/>
        <w:t xml:space="preserve">4. Upon completion of the operation, the shareholding of the operating company of Futuroscope will consist of the CDA, with a shareholding of approximately 40 to 45% of the capital, the New SEM, with 38%, the CDC, with [Confidential] %, and other shareholders for the remainder of the capital ([Confidential] %). Furthermore, the New SEM will be held [Confidential] % by the department of Vienne and [Confidential] % by the CDC.  </w:t>
        <w:br/>
        <w:t xml:space="preserve">5. The operating company of Futuroscope will be constituted in the form of a public limited company with a management board and a supervisory board. The shareholders' agreement concluded between the CDA, the CDC, and the New SEM provides that the CDA will appoint 6 members out of the 11 that the supervisory board will consist of. All strategic decisions (appointment of management board members, adoption of the annual budget, business plan, strategic orientations) will be adopted by a simple majority within the supervisory board. The CDA will therefore exercise a decisive influence over the operating company of Futuroscope.  </w:t>
        <w:br/>
        <w:t xml:space="preserve">6. As it results in the exclusive control of the operating company of Futuroscope by the CDA, the notified operation constitutes a concentration within the meaning of Article L. 430-1 of the Commercial Code. The concerned companies together achieve a total worldwide turnover of more than 150 million euros (CDC: […] billion euros for the fiscal year ending December 31, 2009; operating company of Futuroscope: […] million euros for the same fiscal year). Each achieves in France a turnover exceeding 50 million euros (CDC: […] billion euros; operating company of Futuroscope: […] million euros). Given these turnover figures,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7. The CDA and the operating company of Futuroscope are simultaneously present in the leisure attractions sector. The CDC is not active in the operation of leisure attractions outside of the CDA.  </w:t>
        <w:br/>
        <w:t xml:space="preserve">8. The Minister of Economy examined this sector during the acquisition of the Grévin Museum by the CDA2, without, however, making a definitive statement on the delimitation of the markets. The European Commission has considered a distinction within leisure attractions between, on the one hand, amusement parks and zoos and, on the other hand, visitor attractions (museums, galleries, gardens, historical monuments), while leaving the exact definition of these markets open.  </w:t>
        <w:br/>
        <w:t xml:space="preserve">9. In this case, the parties to the operation are simultaneously present only in the market for amusement parks and zoos.  </w:t>
        <w:br/>
        <w:t xml:space="preserve">10. Regarding the geographical dimension of these markets, the European Commission has considered a national delimitation or even broader than national concerning cross-border amusement parks and larger parks like Disneyland Paris. The Commission also noted that the majority of amusement park customers are located within a radius of approximately two hours by car. The local dimension of the market has therefore not been excluded. For its part, the notifying party indicated that it should take into account travel by TGV to determine the geographical extent of the market as the main amusement parks like Disneyland Paris or Futuroscope are served by this mode of transport.  </w:t>
        <w:br/>
        <w:t xml:space="preserve">11. In this case, the question of the exact delimitation of these markets can be left open, as the conclusions of the competitive analysis remain unchanged regardless of the segmentations retained. The analysis will be conducted at the national level as well as at the local level, considering a zone of two hours of travel by car or by TGV around the Futuroscope.  </w:t>
        <w:br/>
        <w:t xml:space="preserve">12. The parties also offer catering services within the leisure parks they operate. However, these services are only accessible to customers of each amusement park, so the operation does not entail any overlap of activity in this sector. The tourist accommodation sector is also not concerned by the operation. Indeed, the operating company of Futuroscope does not operate [Confidential] in the immediate vicinity of this park, similar to the CDA which does not operate [Confidential] near Parc Astérix, these accommodation offers not being substitutable from a geographical point of view. Furthermore, the CDC only intervenes in the accommodation sector within the framework of renting apartments in homogeneous furnished residences or holiday clubs, modes of accommodation distinct from traditional hotels4. The operation therefore does not entail any overlap of activity in the hotel market.  </w:t>
        <w:br/>
        <w:t xml:space="preserve">III. Competitive analysis  </w:t>
        <w:br/>
        <w:t xml:space="preserve">13. In the French market for amusement parks and zoos, the new entity will have a market share of [10-20]% in value (CDA: [5-10]%; Futuroscope: [0-5]%) and [10-20]% in volume (i.e., in terms of park attendance, with a share of [5-10]% for the CDA, and [0-5]% for the Futuroscope). It will face competition from the market leader, Disneyland Paris, which has a market share of [60-70]% in value and [30-40]% in volume. Several other amusement parks, such as Puy du Fou, Marineland, or Aqualand ([0-5]%) will also compete.  </w:t>
        <w:br/>
        <w:t xml:space="preserve">3 Decisions COMP/M.4573 – Candover / Parques Reunidos of March 12, 2007; COMP/M.4615 – Merlin / Tussauds of April 26, 2007; COMP/M.5715 – Leisure Park Holdings / Criteria Caixa Corp / Activos Port Aventura of December 2, 2009.  </w:t>
        <w:br/>
        <w:t>4 C2006-17 / Letter from the Minister of Economy, Finance and Industry of May 17, 2006, to the boards of the Caisse des Dépôts et Consignations and Finama, regarding a concentration in the tourism residence sector.</w:t>
      </w:r>
    </w:p>
    <w:p>
      <w:r>
        <w:rPr>
          <w:b/>
        </w:rPr>
        <w:t>[Pages 4–4]</w:t>
      </w:r>
    </w:p>
    <w:p>
      <w:r>
        <w:t xml:space="preserve">5] % market share in value), are also likely to exert competition on the new entity.  </w:t>
        <w:br/>
        <w:t xml:space="preserve">14. Within a two-hour travel radius by car or train, the new entity will have a market share of [5-10] % in value (CDA: [0-5] %; Futuroscope: [5-10] %) and [5-10] % in volume (CDA: [0-5] %; Futuroscope: [5-10] %). This area excludes Parc Astérix, which is not served by the TGV and is located more than two hours by car from the other relevant sites. However, hypothetically, even including Parc Astérix, the market share in value of the new entity would only reach [10-20] %, of which [0-5] % for Futuroscope. Regardless of the method of evaluating the market shares used, Futuroscope will remain faced with competition from the market leader, Disneyland Paris ([80-90] % market share in value excluding Parc Astérix, [80-90] % including it). Other theme parks and zoos, such as Puy du Fou ([0-5] %), Zoo de Beauval ([0-5] %), Zoo de la Palmyre ([0-5] %), or Aquarium de la Rochelle ([0-5] %) also constitute alternatives to the attractions offered by the new entity within a two-hour travel radius.  </w:t>
        <w:br/>
        <w:t xml:space="preserve">15. Thus, considering these elements, the operation is not likely to harm competition in the market for amusement parks and zoos.  </w:t>
        <w:br/>
        <w:t xml:space="preserve">DECIDES  </w:t>
        <w:br/>
        <w:t xml:space="preserve">Sole Article: The operation notified under number 10-0183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