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https://www.autoritedelaconcurrence.fr/fr/decision-de-controle-des-concentrations/relative-la-prise-de-controle-de-la-societe-duc</w:t>
      </w:r>
    </w:p>
    <w:p>
      <w:r>
        <w:t>Pages translated : 5</w:t>
      </w:r>
    </w:p>
    <w:p/>
    <w:p>
      <w:r>
        <w:rPr>
          <w:b/>
        </w:rPr>
        <w:t>[Pages 1–3]</w:t>
      </w:r>
    </w:p>
    <w:p>
      <w:r>
        <w:t>FRENCH REPUBLIC</w:t>
        <w:br/>
        <w:t>Decision No. 10-DCC-32 of April 20, 2010</w:t>
        <w:br/>
        <w:t>regarding the exclusive control of the company Duc Distribution</w:t>
        <w:br/>
        <w:t>by the company ITM Entreprises</w:t>
        <w:br/>
        <w:t>The Competition Authority,</w:t>
        <w:br/>
        <w:t>Having regard to the notification file submitted in full to the merger service on March 16, 2009,</w:t>
        <w:br/>
        <w:t>regarding the acquisition of all shares of the company Duc Distribution by the company</w:t>
        <w:br/>
        <w:t>ITM Entreprises, formalized by a letter of option exercise dated October 27, 2009;</w:t>
        <w:br/>
        <w:t>Having regard to Book IV of the Commercial Code relating to price freedom and competition, and</w:t>
        <w:br/>
        <w:t>notably its Articles L. 430-1 to L. 430-7;</w:t>
        <w:br/>
        <w:t>Having regard to the supplementary elements transmitted by the parties during the investigation;</w:t>
        <w:br/>
        <w:t>Adopts the following decision:</w:t>
        <w:br/>
        <w:t>I. The concerned companies and the operation</w:t>
        <w:br/>
        <w:t>1. The company ITM Entreprises, 100% controlled by the Civil Society of Musketeers,</w:t>
        <w:br/>
        <w:t>itself held by 1,330 natural persons known as "associated members," leads and animates the network of independent merchants known as the "Groupement des Musketeers." In its capacity as franchisor, the company ITM Entreprises has as its main activity the management of a network of points of sale,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points of sale. ITM Entreprises also provides its franchisees with various services for prospecting, consulting, training, etc. Finally, ITM Entreprises offers franchisees the opportunity to benefit from advantageous supply conditions from its national and regional subsidiaries as well as from external suppliers referenced outside the "Groupement des Musketeers." The ITM Entreprises group achieved a total turnover excluding taxes of [20-30] billion euros during the last closed financial year ending December 31, 2008, of which [15-25] billion in France.</w:t>
      </w:r>
    </w:p>
    <w:p>
      <w:r>
        <w:t>2. The company Duc Distribution is a public limited company under French law whose main activity is the operation of a predominantly food distribution business under the Intermarché brand in Séné (56). The capital of the company Duc Distribution is held at more than 50% by the X family. The company ITM Entreprises holds one share of the company Duc Distribution, although this share does not confer any special rights. In 2008, the total turnover excluding taxes of Duc Distribution, the last closed financial year, amounted to 25.2 million euros, exclusively achieved in France.</w:t>
      </w:r>
    </w:p>
    <w:p>
      <w:r>
        <w:t>3. According to the terms of the purchase promise dated October 12, 2005, the company ITM Entreprises committed to acquiring the shares held by the X family in the company Duc Distribution, in the event that Mrs. and Mr. X expressed their wish to cease their activity. The option stipulated in this promise was exercised by a letter from Mrs. and Mr. X dated October 27, 2009. The notifying party emphasizes that the present operation is provisional, and the acquired shares must be transferred back as soon as possible to a new independent operator.</w:t>
      </w:r>
    </w:p>
    <w:p>
      <w:r>
        <w:t>4. As it results in the exclusive control of the company Duc Distribution by ITM Entreprises, the notified operation constitutes a concentration within the meaning of Article L. 430-1 of the Commercial Code. Given the turnover of the concerned companies, it does not have a community dimension. On the other hand, the control thresholds related to retail trade mentioned in point II of Article L. 430-2 of the Commercial Code are exceeded. The present operation is therefore subject to the provisions of Articles L. 430-3 and following of the Commercial Code relating to economic concentration.</w:t>
      </w:r>
    </w:p>
    <w:p>
      <w:r>
        <w:t>II. Delimitation of relevant markets</w:t>
        <w:br/>
        <w:t>5. According to the consistent practice of national and community competition authorities, two categories of markets can be delineated in the sector of predominantly food distribution. These are, on the one hand, the "downstream" markets, of local dimension, which bring together retail trade companies and consumers for the sale of consumer goods, and, on the other hand, the "upstream" markets for supplying retail trade companies with everyday consumer goods, of national dimension.</w:t>
      </w:r>
    </w:p>
    <w:p>
      <w:r>
        <w:t>A. DOWNSTREAM DISTRIBUTION MARKETS</w:t>
        <w:br/>
        <w:t>1. SERVICE MARKETS</w:t>
        <w:br/>
        <w:t>6. Regarding the retail sale of everyday consumer goods, competition authorities, both at the community and national levels, have distinguished six categories of commerce using several criteria, notably the size of the stores, their sales techniques, their accessibility, the nature of the service provided, and the range of products offered: (i) hypermarkets, (ii) supermarkets, (iii) specialized trade, (iv) small retail trade, (v) discount stores, (vi) mail order sales.</w:t>
      </w:r>
    </w:p>
    <w:p>
      <w:r>
        <w:t>7. Hypermarkets are usually defined as predominantly food stores with a sales area exceeding 2,500 m2. It should be noted, however, that these thresholds must be used with caution and may be adapted to the specific case, considering that stores whose area is near a threshold, either below or above, may be in direct competition in practice.</w:t>
      </w:r>
    </w:p>
    <w:p>
      <w:r>
        <w:t>8. In this case, the acquired store, located in Séné (56), currently occupies a sales area of 3,000 m2. This store therefore falls into the category of hypermarkets.</w:t>
      </w:r>
    </w:p>
    <w:p>
      <w:r>
        <w:t>2. GEOGRAPHICAL DELIMITATION</w:t>
        <w:br/>
        <w:t>9. In its recent decisions regarding operations involving hypermarkets or supermarkets, the Competition Authority has recalled that depending on the size of the stores concerned, the conditions of competition should be assessed in two different areas:</w:t>
        <w:br/>
        <w:t>- a first area where the demand from consumers in one area meets the supply of hypermarkets that they can access within 30 minutes of driving and which are, from their point of view, substitutable with each other;</w:t>
        <w:br/>
        <w:t>- a second area where the demand from consumers meets the supply of supermarkets and other equivalent forms of commerce, located within 15 minutes of driving time. These latter forms of commerce may include, in addition to supermarkets, hypermarkets and discount stores.</w:t>
      </w:r>
    </w:p>
    <w:p>
      <w:r>
        <w:t>10. Other criteria may nevertheless be taken into account to assess the impact of a concentration on the competitive situation in retail distribution markets, which may lead to refining, in the specific case, the usual delimitations presented above.</w:t>
      </w:r>
    </w:p>
    <w:p>
      <w:r>
        <w:rPr>
          <w:b/>
        </w:rPr>
        <w:t>[Pages 4–5]</w:t>
      </w:r>
    </w:p>
    <w:p>
      <w:r>
        <w:t xml:space="preserve">B. UPSTREAM SUPPLY MARKETS  </w:t>
        <w:br/>
        <w:t xml:space="preserve">11. Regarding the supply markets, the European Commission6 has identified the existence of markets of national dimension by major product groups, a delineation followed by national authorities7.  </w:t>
        <w:br/>
        <w:t xml:space="preserve">12. There is no reason to challenge this delineation in the context of the present operation.  </w:t>
        <w:br/>
        <w:t xml:space="preserve">III. Competitive Analysis  </w:t>
        <w:br/>
        <w:t xml:space="preserve">A. DOWNSTREAM FOOD DISTRIBUTION MARKETS  </w:t>
        <w:br/>
        <w:t xml:space="preserve">13. In the market comprising hypermarkets located within a 30-minute catchment area around Séné, the Intermarché operated by the target represents a 7.22% market share expressed in sales area (i.e., 3,000 m² out of a total area of 41,534 m²). Also present in the Séné area are two other Intermarché hypermarkets located in Crach (6.6% market share for an area of 2,740 m²) and in Questembert (6.51% market share with an area of 2,705 m²). Hypermarkets operated under a brand of the ITM Entreprises group thus represent, in the defined 30-minute catchment area, a cumulative market share of 20.33%. These stores face competition notably from a hypermarket under the Carrefour brand (8,300 m² or a market share of 19.98%), two hypermarkets under the E. Leclerc brand (6,100 m² and 3,462 m² or market shares of 14.69% and 8.34%) and a hypermarket under the Hyper U brand (4,000 m² or 9.63% market share).  </w:t>
        <w:br/>
        <w:t xml:space="preserve">14. In the market comprising supermarkets and other equivalent forms of commerce, located within a 15-minute catchment area around Séné, the Intermarché operated by the target represents a 7.12% market share (i.e., 3,000 m² out of a total area of 42,116 m²). Also present in the Séné area are four other Intermarché supermarkets, two of which are located in Vannes (1,682 m² and 1,200 m²), a third in Saint-Avé (1,650 m²) and the last in Surzur (1,200 m²). Furthermore, in this same area, three stores under the Netto brand are operated in Vannes (956 m²), Saint-Avé (850 m²) and Séné (550 m²). The hypermarkets and supermarkets operated under a brand of the ITM Entreprises group thus represent, in the 15-minute catchment area around Séné, a cumulative market share of 26.33%. These stores face competition notably from a hypermarket under the Carrefour brand (8,300 m² or a market share of 19.71%), a hypermarket under the E. Leclerc brand (6,100 m² or a market share of 14.48%) and a hypermarket under the Hyper U brand (4,000 m² or a market share of 9.5%).  </w:t>
        <w:br/>
        <w:t xml:space="preserve">15. Given the above, the present operation is not likely to harm competition in the considered markets.  </w:t>
        <w:br/>
        <w:t xml:space="preserve">6 See the Commission decisions M.1684 Carrefour/Promodès of January 25, 2000 and M. 2115 Carrefour/GB of September 28, 2000.  </w:t>
        <w:br/>
        <w:t xml:space="preserve">7 See notably the decisions of the minister in the sector, C2005-98, Carrefour/Penny Market of November 10, 2005, C2006-15 Carrefour/Groupe Hamon of April 14, 2006, C2007-172 regarding the creation of the joint venture Plamidis of February 13, 2008 and C2008-32 Carrefour/SAGC of July 9, 2008.  </w:t>
        <w:br/>
        <w:t xml:space="preserve">B. UPSTREAM SUPPLY MARKETS  </w:t>
        <w:br/>
        <w:t xml:space="preserve">16. Regarding the upstream supply markets, the operation, which concerns only one store, is not likely to significantly strengthen the purchasing power of the ITM Entreprises group, across all products as well as by major product groups.  </w:t>
        <w:br/>
        <w:t xml:space="preserve">DECIDES  </w:t>
        <w:br/>
        <w:t xml:space="preserve">Single Article: The operation notified under number 10-0030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