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https://www.autoritedelaconcurrence.fr/fr/decision-de-controle-des-concentrations/relative-la-prise-de-controle-de-la-societe-embrudis-par-la</w:t>
      </w:r>
    </w:p>
    <w:p>
      <w:r>
        <w:t>Pages translated : 2</w:t>
      </w:r>
    </w:p>
    <w:p/>
    <w:p>
      <w:r>
        <w:rPr>
          <w:b/>
        </w:rPr>
        <w:t>[Pages 1–2]</w:t>
      </w:r>
    </w:p>
    <w:p>
      <w:r>
        <w:t xml:space="preserve">FRENCH REPUBLIC  </w:t>
        <w:br/>
        <w:t xml:space="preserve">Decision No. 20-DCC-120 of September 9, 2020  </w:t>
        <w:br/>
        <w:t xml:space="preserve">regarding the acquisition of control of the company Embrudis by the  </w:t>
        <w:br/>
        <w:t xml:space="preserve">Coopérative U Enseigne  </w:t>
        <w:br/>
        <w:t xml:space="preserve">The Competition Authority,  </w:t>
        <w:br/>
        <w:t xml:space="preserve">Having regard to the complete notification file sent to the mergers department on August 18, 2020,  </w:t>
        <w:br/>
        <w:t xml:space="preserve">concerning the acquisition of control of the company Embrudis by the Coopérative U Enseigne formalized  </w:t>
        <w:br/>
        <w:t xml:space="preserve">by a share transfer agreement dated June 12,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acquisition of control by Mr. and Mrs. Vasquez and the  </w:t>
        <w:br/>
        <w:t xml:space="preserve">Coopérative U Enseigne of the company Embrudis, which operates a retail business predominantly in the  </w:t>
        <w:br/>
        <w:t xml:space="preserve">food sector of a hypermarket type with an area of 3,596 m² under the Super U brand in Embrun (05), as well as a store of decoration and miscellaneous products with an area of 1,429 m² under the Centrakor brand in Embrun (05).  </w:t>
        <w:br/>
        <w:t xml:space="preserve">2. Insofar as Mr. and Mrs. Vasquez do not control any other company at the time of the operation, only the acquisition of control of the company Embrudis by the Coopérative U Enseigne constitutes a concentration operation within the meaning of Article L. 430-1 of the Commercial Code.  </w:t>
        <w:br/>
        <w:t xml:space="preserve">3. Given the turnover achieved by the companies concerned, the operation does not fall within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4. In light of the elements of the file, the operation is not likely to harm competition in the relevant markets.</w:t>
      </w:r>
    </w:p>
    <w:p>
      <w:r>
        <w:t xml:space="preserve">DECIDES  </w:t>
        <w:br/>
        <w:t xml:space="preserve">Sole Article: The operation notified under number 20-155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