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https://www.autoritedelaconcurrence.fr/fr/decision-de-controle-des-concentrations/relative-la-prise-de-controle-de-la-societe-esso-antilles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14-DCC-45 of March 27, 2014  </w:t>
        <w:br/>
        <w:t xml:space="preserve">regarding the acquisition of control of the company Esso Antilles Guyane  </w:t>
        <w:br/>
        <w:t xml:space="preserve">by the Sol group  </w:t>
        <w:br/>
        <w:t xml:space="preserve">The Competition Authority,  </w:t>
        <w:br/>
        <w:t xml:space="preserve">Having regard to the notification file sent to the mergers department on September 25, 2013,  </w:t>
        <w:br/>
        <w:t xml:space="preserve">declared complete on March 6, 2014, concerning the acquisition of control of the company Esso Antilles  </w:t>
        <w:br/>
        <w:t xml:space="preserve">Guyane by the Sol group materialized by a share transfer agreement dated June 28, 2013;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provided by the parties during the investigation;  </w:t>
        <w:br/>
        <w:t xml:space="preserve">Adopts the following decision:  </w:t>
        <w:br/>
        <w:t xml:space="preserve">1. The notified operation consists of the acquisition of control of the company Esso Antilles Guyane, active  </w:t>
        <w:br/>
        <w:t xml:space="preserve">in the retail and wholesale sale of fuels in Martinique and Guadeloupe, by the Sol group, active in France in the retail and wholesale sale of fuels in Guyana. It constitutes  </w:t>
        <w:br/>
        <w:t xml:space="preserve">a concentration operation within the meaning of Article L. 430-1 of the Commercial Code. Given  </w:t>
        <w:br/>
        <w:t xml:space="preserve">the turnover achieved by the concerned companies, the operation does not fall under the jurisdiction of the European Union. On the other hand, the control thresholds mentioned in  </w:t>
        <w:br/>
        <w:t xml:space="preserve">point I of Article L. 430-2 of the Commercial Code are exceeded. This operation is  </w:t>
        <w:br/>
        <w:t xml:space="preserve">therefore subject to the provisions of Articles L. 430-3 and following of the Commercial Code relating  </w:t>
        <w:br/>
        <w:t xml:space="preserve">to economic concentration.  </w:t>
        <w:br/>
        <w:t xml:space="preserve">2. In light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operation notified under number 13-135 is authorized.  </w:t>
        <w:br/>
        <w:t xml:space="preserve">The Vice-President,  </w:t>
        <w:br/>
        <w:t xml:space="preserve">Élisabeth Flüry-Hérard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