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https://www.autoritedelaconcurrence.fr/fr/decision-de-controle-des-concentrations/relative-la-prise-de-controle-de-la-societe-fertilore-sas</w:t>
      </w:r>
    </w:p>
    <w:p>
      <w:r>
        <w:t>Pages translated : 7</w:t>
      </w:r>
    </w:p>
    <w:p/>
    <w:p>
      <w:r>
        <w:rPr>
          <w:b/>
        </w:rPr>
        <w:t>[Pages 1–3]</w:t>
      </w:r>
    </w:p>
    <w:p>
      <w:r>
        <w:t xml:space="preserve">FRENCH REPUBLIC  </w:t>
        <w:br/>
        <w:t xml:space="preserve">Decision No. 13-DCC-145 of October 17, 2013  </w:t>
        <w:br/>
        <w:t xml:space="preserve">regarding the acquisition of control of Fertilore S.A.S.  </w:t>
        <w:br/>
        <w:t>by the Roullier Group</w:t>
      </w:r>
    </w:p>
    <w:p>
      <w:r>
        <w:t xml:space="preserve">The Competition Authority,  </w:t>
        <w:br/>
        <w:t xml:space="preserve">Having regard to the notification file submitted in full to the merger service on September 12, 2013, regarding the acquisition of control of Fertilore S.A.S. by the Roullier Group, through Fertilagro Limited, formalized by a transfer agreement signed on July 18, 2013;  </w:t>
        <w:br/>
        <w:t xml:space="preserve">Having regard to Book IV of the Commercial Code relating to the freedom of prices and competition, and in particular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The Roullier Group (hereinafter "Roullier") is a French family group present in particular in the sectors of professional hygiene, minerals and industrial products, plastics, food phosphates, and agrosupply. In this last area, Roullier manufactures fertilizers (simple and complex) and products intended for animal feed. In 2012, the Roullier Group was present in 45 countries worldwide.  </w:t>
        <w:br/>
        <w:t xml:space="preserve">2. Fertilore S.A.S. (hereinafter "Fertilore") is a simplified joint-stock company owned by four individual shareholders. It specializes in the trading of fertilizers and, in this capacity, imports and resells simple fertilizers to distributors and wholesalers as well as to manufacturers for the production of complex fertilizers.  </w:t>
        <w:br/>
        <w:t>3. Under the transfer agreement signed on July 18, 2013, it is provided that the Roullier Group, through its Irish subsidiary Fertilagro Limited (hereinafter "Fertilagro"), will acquire all the shares of Fertilore. As it results in the exclusive control of Fertilore by the Roullier Group, the operation constitutes a concentration within the meaning of Article L. 430-1 of the Commercial Code.</w:t>
      </w:r>
    </w:p>
    <w:p>
      <w:r>
        <w:t>4. The companies concerned together achieve a total worldwide turnover of more than 150 million euros (Roullier: [...] euros for the last financial year ending December 31, 2012; Fertilore: [...] euros for the last financial year ending December 31, 2012). At least two of these companies achieve a turnover in France exceeding 50 million euros (Roullier: [...] euros; Fertilore: [...] euros). Given these turnovers, the operation does not have a Community dimension. However, the control thresholds mentioned in point I of Article L. 430-2 of the Commercial Code are exceeded. Therefore, the present operation is subject to the provisions of Articles L. 430-3 and following of the Commercial Code relating to economic concentration.</w:t>
      </w:r>
    </w:p>
    <w:p>
      <w:r>
        <w:t xml:space="preserve">II. Delimitation of the relevant markets  </w:t>
        <w:br/>
        <w:t xml:space="preserve">5. National and Community competition authorities traditionally consider that in the field of agrosupply, two product markets must be distinguished: on the one hand, the upstream market involving manufacturers as sellers and distributors or agricultural cooperatives as buyers; on the other hand, the downstream market involving the latter as resellers and farmers as buyers.  </w:t>
        <w:br/>
        <w:t>6. The present operation entails an overlap of activities in the downstream segment of the distribution of mineral fertilizers. Roullier is also present upstream in the production of mineral fertilizers, a sector that will therefore be analyzed in terms of vertical effects.</w:t>
      </w:r>
    </w:p>
    <w:p>
      <w:r>
        <w:t xml:space="preserve">A. PRODUCT AND SERVICE MARKETS  </w:t>
        <w:br/>
        <w:t xml:space="preserve">1. UPSTREAM MARKETS FOR FERTILIZER PRODUCTION  </w:t>
        <w:br/>
        <w:t xml:space="preserve">7. In terms of fertilizers, nitrogen (N), phosphorus (P), and potassium (K) are the three primary nutrients added to the soil to promote plant growth. Fertilizers can exist in a simple form (fertilizers based on pure nitrogen, pure phosphate, or pure potash) or in a compound form, meaning containing a combination of N, P, K (complex fertilizers). Similarly, fertilizers can be manufactured and marketed in solid or liquid form.  </w:t>
        <w:br/>
        <w:t>8. Community and national decision-making practice has distinguished organic fertilizers (such as manure) from mineral fertilizers (obtained through industrial processes) and has made a distinction based on the method of application of fertilizers, thus separating agricultural fertilizers, spread on a field and then gradually diluted by rain or irrigation, from specialty fertilizers, soluble in water or in liquid form.</w:t>
      </w:r>
    </w:p>
    <w:p>
      <w:r>
        <w:t xml:space="preserve">9. Within mineral fertilizers, a distinction has been made according to the nutrients they contain (nitrogen/phosphate/potassium) and, within each category of fertilizers, a segmentation between simple fertilizers and complex fertilizers has been considered without the issue being definitively resolved.  </w:t>
        <w:br/>
        <w:t>10. In the present case, the question of the precise delineation of these markets can be left open insofar as, regardless of the hypothesis adopted, the conclusions of the competitive analysis will remain unchanged.</w:t>
      </w:r>
    </w:p>
    <w:p>
      <w:r>
        <w:t xml:space="preserve">2. DOWNSTREAM MARKETS FOR FERTILIZER DISTRIBUTION  </w:t>
        <w:br/>
        <w:t xml:space="preserve">11. The European Commission, ruling on the market for the distribution of agricultural mineral fertilizers, has made a distinction according to their distribution channel: i) sales to wholesalers, ii) sales to retailers, and iii) sales to end customers.  </w:t>
        <w:br/>
        <w:t xml:space="preserve">12. In this case, the parties market their products to agricultural cooperatives and traders and are thus only active in the first two segments of fertilizer distribution.  </w:t>
        <w:br/>
        <w:t xml:space="preserve">13. Within these two segments, no segmentation is made according to the type of nutrients, with wholesalers and retailers distributing all types of products.  </w:t>
        <w:br/>
        <w:t xml:space="preserve">14. The existence of a trading market for fertilizers, corresponding to the purchase by traders of simple fertilizers, mainly from other countries, for resale either to wholesalers or to producers who then use them for the production of compound fertilizers, can be considered in this case.  </w:t>
        <w:br/>
        <w:t>15. However, the question of the precise delimitation of these markets can be left open insofar as, regardless of the hypothesis adopted, the conclusions of the competitive analysis will remain unchanged.</w:t>
      </w:r>
    </w:p>
    <w:p>
      <w:r>
        <w:t xml:space="preserve">B. GEOGRAPHICAL MARKETS  </w:t>
        <w:br/>
        <w:t xml:space="preserve">16. Regarding the production of fertilizers, decision-making practice has retained at least a European dimension of the market, particularly considering the levels of importation of these products.  </w:t>
        <w:br/>
        <w:t xml:space="preserve">17. Regarding the sale of fertilizers to wholesalers, the European Commission has retained a European dimension of the market while the market for sales to retailers is of national dimension.  </w:t>
        <w:br/>
        <w:t>18. Regarding a potential trading market for fertilizers, located upstream of sales to wholesalers, it appears that traders primarily purchase simple fertilizers from outside the European Union and resell them to producers located in France and in the European Union. This market would therefore be of European dimension. In this case, Fertilore primarily resells its products in France, the United Kingdom, and Portugal. The notifying party estimates that the market is of European, if not global, dimension and has provided market shares at the national level, as well as estimates at the European level.</w:t>
      </w:r>
    </w:p>
    <w:p>
      <w:r>
        <w:rPr>
          <w:b/>
        </w:rPr>
        <w:t>[Pages 4–6]</w:t>
      </w:r>
    </w:p>
    <w:p>
      <w:r>
        <w:t>19. In this case, there is no need to challenge the boundaries already established, and the question of the precise delimitation of the trading market can be left open insofar as, regardless of the hypothesis adopted, the conclusions of the competitive analysis will remain unchanged.</w:t>
      </w:r>
    </w:p>
    <w:p>
      <w:r>
        <w:t>III. Competitive Analysis</w:t>
      </w:r>
    </w:p>
    <w:p>
      <w:r>
        <w:t>20. The parties are simultaneously present in the markets for the distribution of agricultural mineral fertilizers to wholesalers and distributors. In this respect, it will be necessary to analyze the horizontal effects of the operation. In the market for trading simple fertilizers, Fertilore supplies fertilizer producers with raw materials for the production of complex fertilizers. In this respect, the vertical effects of the operation will need to be examined.</w:t>
      </w:r>
    </w:p>
    <w:p>
      <w:r>
        <w:t>A. HORIZONTAL EFFECTS</w:t>
      </w:r>
    </w:p>
    <w:p>
      <w:r>
        <w:t>21. In a Community market for the sale of fertilizers to wholesalers, the market shares of the parties amount to [5-10]% (Roullier group: [5-10]%, Fertilore: [0-5]%).</w:t>
      </w:r>
    </w:p>
    <w:p>
      <w:r>
        <w:t>22. In a national market for the sale of fertilizers to distributors (agricultural cooperatives), the market shares of the parties amount to [10-20]% (Roullier group: [10-20]%, Fertilore: [0-5]%).</w:t>
      </w:r>
    </w:p>
    <w:p>
      <w:r>
        <w:t>23. In these two markets, the parties will continue to face, after the operation, competition from players such as Yara, the leading European fertilizer producer whose market share is estimated by the notifying party at [30-40]% in the national market for the sale of fertilizers to agricultural cooperatives and [10-20]% in the European market for sales to traders, and Borealis/GPN ([30-40]% in the market for sales to agricultural cooperatives and [10-20]% in the market for sales to traders), as well as various competing traders or producers.</w:t>
      </w:r>
    </w:p>
    <w:p>
      <w:r>
        <w:t>24. Therefore, the operation is not likely to harm competition in the markets concerned through horizontal effects.</w:t>
      </w:r>
    </w:p>
    <w:p>
      <w:r>
        <w:t>B. VERTICAL EFFECTS</w:t>
      </w:r>
    </w:p>
    <w:p>
      <w:r>
        <w:t>25. A vertical concentration can restrict competition by making access to the markets where the new entity will be active more difficult, or even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However, the decision-making practice of competition authorities generally dismisses these locking risks when the share of the company resulting from the operation in the concerned markets does not exceed 30%.</w:t>
      </w:r>
    </w:p>
    <w:p>
      <w:r>
        <w:t>26. In this case, as a trader, Fertilore supplies industries such as Roullier with simple fertilizers necessary for the production of complex fertilizers. It is therefore necessary to verify whether the notified operation will allow the new entity to lock access to the raw material.</w:t>
      </w:r>
    </w:p>
    <w:p>
      <w:r>
        <w:t>27. The Roullier group produces [confidential] agricultural mineral fertilizers. In the market for the production of mineral fertilizers, the notifying party estimates that the market share of the Roullier group at the European level does not exceed [0-5]%. It considers that its market share does not exceed [0-5]% for the production of simple K fertilizers, [0-5]% for the production of simple N fertilizers, and [10-20]% for the production of simple P fertilizers in a Community market. These market shares are also lower when considering a broader sub-segmentation, including all fertilizers, simple and compound, for each category of fertilizers (phosphate fertilizers, nitrogen fertilizers, potassium fertilizers).</w:t>
      </w:r>
    </w:p>
    <w:p>
      <w:r>
        <w:t>28. In a potential market for trading fertilizers, corresponding to the resale of simple fertilizers to producers, the notifying party estimates Fertilore's European position at [0-5]% in volume. In this market, Fertilore faces competition from players such as Helm, Agrium, Koch, and Transammonia.</w:t>
      </w:r>
    </w:p>
    <w:p>
      <w:r>
        <w:t>29. Furthermore, Roullier's purchases from Fertilore represented [5-10]% of Fertilore's turnover in 2012 and corresponded to [5-10]% in value of Roullier's total purchases.</w:t>
      </w:r>
    </w:p>
    <w:p>
      <w:r>
        <w:t>30. Therefore, the operation is not likely to harm competition in the markets concerned through vertical effects.</w:t>
      </w:r>
    </w:p>
    <w:p>
      <w:r>
        <w:t>IV. Accessory Restrictions</w:t>
      </w:r>
    </w:p>
    <w:p>
      <w:r>
        <w:t>31. The sale agreement dated July 18, 2013, contains non-competition and non-solicitation clauses on the part of the seller. Firstly, Article [confidential] of the sale agreement signed by the parties provides for [confidential]. This non-competition commitment covers the territory of [confidential]. Secondly, Article [confidential] of the sale agreement provides that [confidential] of the target commits, unless expressly agreed by the notifying party, not to hire or approach (directly or indirectly) for the purpose of poaching, the employees of [confidential] from the date of completion of the operation.</w:t>
      </w:r>
    </w:p>
    <w:p>
      <w:r>
        <w:t>32. However, these non-competition and non-solicitation obligations cannot be considered as restrictions directly linked and necessary to the realization of the concentration.</w:t>
      </w:r>
    </w:p>
    <w:p>
      <w:r>
        <w:t>33. Indeed, it should be noted that the European Commission's communication on accessory restrictions specifies that "the criteria of direct link and necessity are objective by nature. Restrictions are not directly linked and necessary to the realization of a concentration simply because the parties consider them as such." Thus, "it is not sufficient that an agreement was concluded in the same context or at the same time as the concentration operation, but that they relate, from an economic point of view, to the main transaction and aim to allow a smooth transition between the old structure of the company and the new one after the completion of the concentration operation."</w:t>
      </w:r>
    </w:p>
    <w:p>
      <w:r>
        <w:t>34. While non-competition and non-poaching clauses may appear necessary for the acquirer to benefit from some protection against competition from the seller, in order to be able to retain customers, as well as to assimilate and exploit know-how, such clauses are only justified by the legitimate objective of achieving the concentration to the extent that their duration, territorial scope, and material and personal scope do not exceed what is reasonably necessary for this purpose.</w:t>
      </w:r>
    </w:p>
    <w:p>
      <w:r>
        <w:t>35. Thus, according to the European Commission's communication on accessory restrictions, this type of clause "is justified for periods not exceeding three years when the sale of the business includes customer retention in the form of both goodwill and know-how." Furthermore, "the geographical scope of a non-competition clause must be limited to the area where the seller offered the products or services in question before the sale, since the acquirer does not need to be protected from competition from the seller in territories where the latter was not previously present."</w:t>
      </w:r>
    </w:p>
    <w:p>
      <w:r>
        <w:t>36. In this case, the non-solicitation clause for personnel provided in the sale agreement, lasting […] years, exceeds the generally accepted duration to allow the acquirer to assimilate and exploit the know-how.</w:t>
      </w:r>
    </w:p>
    <w:p>
      <w:r>
        <w:t>37. Furthermore, the non-competition clause stipulated in the sale agreement, although lasting […] months, covers a territory more extensive ([confidential]) than that in which the seller offers its services ([confidential]) and therefore exceeds what is necessary for the realization of the concentration operation.</w:t>
      </w:r>
    </w:p>
    <w:p>
      <w:r>
        <w:t>38. However, in light of this analysis, the parties have committed to reducing the non-poaching commitment by […] years and to limiting the geographical scope of the non-competition commitment to [confidential].</w:t>
      </w:r>
    </w:p>
    <w:p>
      <w:r>
        <w:t>39. It should be considered that the non-competition and non-solicitation clauses, as modified, constitute restrictions directly linked and necessary to the realization of the present operation.</w:t>
      </w:r>
    </w:p>
    <w:p>
      <w:r>
        <w:rPr>
          <w:b/>
        </w:rPr>
        <w:t>[Pages 7–7]</w:t>
      </w:r>
    </w:p>
    <w:p>
      <w:r>
        <w:t xml:space="preserve">DECIDES  </w:t>
        <w:br/>
        <w:t xml:space="preserve">Sole Article: The operation notified under number 13-136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