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https://www.autoritedelaconcurrence.fr/fr/decision-de-controle-des-concentrations/relative-la-prise-de-controle-de-la-societe-flash-holding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20-DCC-194 of December 24, 2020  </w:t>
        <w:br/>
        <w:t xml:space="preserve">regarding the acquisition of control of the company Flash Holding by the company  </w:t>
        <w:br/>
        <w:t xml:space="preserve">Andera Partners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1, 2020, concerning the acquisition of control of the company Flash Holding by the company Andera  </w:t>
        <w:br/>
        <w:t xml:space="preserve">Partners, formalized by a purchase promise dated November 20,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joint acquisition of control by Mr. Xavier Vignon and the  </w:t>
        <w:br/>
        <w:t xml:space="preserve">company Andera Partners of the company Flash Holding, a holding company of the Sogetrel group,  </w:t>
        <w:br/>
        <w:t xml:space="preserve">mainly active in the sector of deploying fixed and mobile telecommunications networks as well as in  </w:t>
        <w:br/>
        <w:t xml:space="preserve">providing electronic security solutions on behalf of businesses and public authorities and digital solutions for  </w:t>
        <w:br/>
        <w:t xml:space="preserve">municipalities. It constitutes a concentration operation within the meaning of Article L. 430-1 of the  </w:t>
        <w:br/>
        <w:t xml:space="preserve">Commercial Code. Given the turnover achieved by the concerned companies, the operation does not fall  </w:t>
        <w:br/>
        <w:t xml:space="preserve">under the jurisdiction of the European Union. However, the control thresholds mentioned in point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view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20-256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