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https://www.autoritedelaconcurrence.fr/fr/decision-de-controle-des-concentrations/relative-la-prise-de-controle-de-la-societe-goelan-sas-par</w:t>
      </w:r>
    </w:p>
    <w:p>
      <w:r>
        <w:t>Pages translated : 5</w:t>
      </w:r>
    </w:p>
    <w:p/>
    <w:p>
      <w:r>
        <w:rPr>
          <w:b/>
        </w:rPr>
        <w:t>[Pages 1–3]</w:t>
      </w:r>
    </w:p>
    <w:p>
      <w:r>
        <w:t>FRENCH REPUBLIC</w:t>
        <w:br/>
        <w:t>Decision No. 10-DCC-177 of December 8, 2010</w:t>
        <w:br/>
        <w:t>regarding the acquisition of control</w:t>
        <w:br/>
        <w:t>of the company Goelan SAS by the company Cazabarda</w:t>
        <w:br/>
        <w:t>and the company ITM Entreprises</w:t>
        <w:br/>
        <w:t>The Competition Authority,</w:t>
        <w:br/>
        <w:t>Having regard to the notification file submitted in full to the merger service on</w:t>
        <w:br/>
        <w:t>November 2, 2010, concerning the acquisition of 99% of the shares of the company Goelan SAS by the</w:t>
        <w:br/>
        <w:t>company Cazabarda, with the maintenance of joint control by the company ITM Entreprises,</w:t>
        <w:br/>
        <w:t>formalized by a transfer protocol dated July 8, 2010;</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The company ITM Entreprises, 100% controlled by the Société civile des Mousquetaires, itself held by 1,330 physical persons known as "associated members," leads and animates the network of independent merchants known as the "Groupement des Mousquetaires." As a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referenced suppliers outside the "Groupement des Mousquetaires."</w:t>
      </w:r>
    </w:p>
    <w:p>
      <w:r>
        <w:t>2. The company Cazabarda is a simplified joint-stock company under French law whose corporate purpose is the holding of shares in companies operating retail outlets under the Intermarché and Netto brands. The shares of the company Cazabarda are held more than [&gt;50]% by Mr. and Mrs. X, with the company ITM Entreprises holding a single share that does not grant it any particular rights. Mr. and Mrs. X are signatories of the membership charter of the Mousquetaires group. The company Cazabarda holds two companies, Miraben Distribution, which operates a food-dominant retail outlet under the Intermarché brand in Tonneins (44), and Gobax, which operates a food-dominant retail outlet under the Netto brand in Langon (33).</w:t>
        <w:br/>
        <w:t>3. The company Goelan is a simplified joint-stock company under French law that operates a food-dominant retail outlet under the Intermarché brand in Langon (33). The shares of the company Goelan are held more than [&gt;50]% by Mr. and Mrs. Y, with the company ITM Entreprises holding a preferred share.</w:t>
        <w:br/>
        <w:t>4. The articles of association of Goelan, adopted on June 30, 2005, grant ITM Entreprises, for 15 years, the possibility to block any change of brand, to oppose any transfer of shares, to exclude an associated company in the event of a change in its control, as well as to compel a partner to sell their shares as soon as they operate a similar business under a competing brand. Furthermore, the brand contract grants ITM Entreprises, also for 15 years, a right of first refusal in the event of the sale of the business at a price calculated according to a predetermined formula. Finally, after 15 years, if ITM Entreprises no longer has the ability to block any change of brand or to oppose any transfer of shares, ITM Entreprises retains a right of first refusal on any sale of shares for an additional 5 years.</w:t>
        <w:br/>
        <w:t>5. It follows from the above that prior to the operation, ITM Entreprises already jointly exercises control of the company Goelan with Mr. and Mrs. Y.</w:t>
        <w:br/>
        <w:t>6. The notified operation, formalized by a transfer protocol dated July 8, 2010, consists of the acquisition of all the shares of Mr. and Mrs. Y by the company Cazabarda, with the maintenance of joint control by the company ITM Entreprises.</w:t>
        <w:br/>
        <w:t>7. Insofar as it will result in the joint control of the company Goelan by the company Cazabarda and the ITM Entreprises group, the notified operation is indeed a concentration within the meaning of Article L. 430-1 of the Commercial Code.</w:t>
        <w:br/>
        <w:t>8. The concerned companies operate one or more retail stores and together achieve a total worldwide turnover of more than 75 million euros (ITM Entreprises group: […] billion euros for the fiscal year ending December 31, 2009; company Cazabarda: […] million euros for the same fiscal year; company Goelan: […] million euros for the same fiscal year). Two of them achieve in France in the retail sector a turnover exceeding 15 million euros (ITM Entreprises group: […] million euros in 2009; company Goelan: the turnover mentioned above is entirely realized in France). Given these turnover figures, the operation does not have a community dimension.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w:t>
      </w:r>
    </w:p>
    <w:p>
      <w:r>
        <w:t>II. Delimitation of Relevant Markets</w:t>
        <w:br/>
        <w:t>9. According to the consistent practice of national and community competition authorities, two categories of markets can be delineated in the predominantly food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w:t>
        <w:br/>
        <w:t>A. DOWNSTREAM DISTRIBUTION MARKETS</w:t>
        <w:br/>
        <w:t>1. SERVICE MARKETS</w:t>
        <w:br/>
        <w:t>10. Concerning the retail sale of everyday consumer goods, competition authorities, both community and national, have distinguished six categories of trade using several criteria, notably the size of the stores, their sales techniques, their accessibility, the nature of the service provided, and the range of products offered: (i) hypermarkets, (ii) supermarkets, (iii) specialized trade, (iv) small retail trade, (v) maxi-discounters, (vi) mail order sales.</w:t>
        <w:br/>
        <w:t>11. Supermarkets are usually defined as food-dominant stores with a legal sales area of less than 2,500 m².</w:t>
        <w:br/>
        <w:t>12. In this case, the store concerned by the operation currently occupies a sales area of 1,841 m² (company Goelan), thus falling into the category of supermarkets.</w:t>
        <w:br/>
        <w:t>2. GEOGRAPHICAL DELIMITATION</w:t>
        <w:br/>
        <w:t>13. In its recent decisions regarding operations involving hypermarkets or supermarkets, the Competition Authority has recalled that depending on the size of the stores concerned, the conditions of competition should be assessed in two different areas:</w:t>
        <w:br/>
        <w:t>- a first market where the demand from consumers in an area meets the supply of hypermarkets that they can access within less than 30 minutes of travel by car and which are, from their point of view, substitutable for each other;</w:t>
        <w:br/>
        <w:t>- a second market where the demand from consumers meets the supply of supermarkets and equivalent retail formats located within 15 minutes of travel time by car. These latter forms of trade may include, in addition to supermarkets, hypermarkets located near consumers and discount stores.</w:t>
        <w:br/>
        <w:t>14. Other criteria may nevertheless be taken into account to assess the impact of a concentration on the competitive situation in retail distribution markets, which may lead to refining, in the specific case, the usual delimitations presented above.</w:t>
        <w:br/>
        <w:t>15. In this case, the store concerned falling into the category of supermarkets, the competitive analysis will be conducted solely on the market including supermarkets, hypermarkets, and proximity stores and discounters located within a 15-minute radius around Langon (33).</w:t>
      </w:r>
    </w:p>
    <w:p>
      <w:r>
        <w:rPr>
          <w:b/>
        </w:rPr>
        <w:t>[Pages 4–5]</w:t>
      </w:r>
    </w:p>
    <w:p>
      <w:r>
        <w:t>B. UPSTREAM SUPPLY MARKETS</w:t>
        <w:br/>
        <w:t>16. Regarding the supply markets, the European Commission has identified the existence of national markets by major product groups, a delineation followed by national authorities1.</w:t>
        <w:br/>
        <w:t>17. There is no reason to challenge this delineation in the context of the present operation.</w:t>
      </w:r>
    </w:p>
    <w:p>
      <w:r>
        <w:t>III. Competitive Analysis</w:t>
        <w:br/>
        <w:t>A. DOWNSTREAM DISTRIBUTION MARKET</w:t>
        <w:br/>
        <w:t>18. In the market comprising supermarkets and equivalent retail formats located within a 15-minute drive zone around Langon (33), the Intermarché operated by the target represents 12.5% of the sales area (i.e., 1,841 m² out of a total area of 15,289 m²). Also present in Langon is a maxi-discounter under the "Netto" brand holding 5.18% market share. In the catchment area, the stores operated under the ITM Entreprises brand thus represent a cumulative market share of 17.22%. These stores face competition from a hypermarket under the Leclerc brand representing 29.6% of the sales area, from a supermarket and maxi-discounter of the Casino group holding 12.93% of the sales area, from a supermarket of the Système U group representing 12.24% of the sales area, and from numerous other retail outlets of the Lidl, Coccinelle, Le Mutant, Le marché de Léopold, and Shopi brands.</w:t>
        <w:br/>
        <w:t>19. Consequently, the operation is not likely to harm competition in the markets concerned.</w:t>
      </w:r>
    </w:p>
    <w:p>
      <w:r>
        <w:t>B. UPSTREAM SUPPLY MARKET</w:t>
        <w:br/>
        <w:t>20. Regarding the upstream supply markets, the operation, which concerns only a single store, is not likely to significantly strengthen the purchasing power of the ITM Entreprises group, across all products as well as by major product groups.</w:t>
        <w:br/>
        <w:t>21. Consequently, the operation is not likely to harm competition both in the downstream market and in the upstream market of distribution.</w:t>
      </w:r>
    </w:p>
    <w:p>
      <w:r>
        <w:t>1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t>DECIDES</w:t>
        <w:br/>
        <w:t>Sole Article: The operation notified under number 10-0190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