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https://www.autoritedelaconcurrence.fr/fr/decision-de-controle-des-concentrations/relative-la-prise-de-controle-de-la-societe-groupe-twc-sas</w:t>
      </w:r>
    </w:p>
    <w:p>
      <w:r>
        <w:t>Pages translated : 5</w:t>
      </w:r>
    </w:p>
    <w:p/>
    <w:p>
      <w:r>
        <w:rPr>
          <w:b/>
        </w:rPr>
        <w:t>[Pages 1–3]</w:t>
      </w:r>
    </w:p>
    <w:p>
      <w:r>
        <w:t>FRENCH REPUBLIC</w:t>
        <w:br/>
        <w:t>Decision No. 11-DCC-107 of July 19, 2011</w:t>
        <w:br/>
        <w:t>regarding the acquisition of control of Groupe TWC SAS by L Capital Management, jointly with Financière Molière</w:t>
        <w:br/>
        <w:t>The Competition Authority,</w:t>
        <w:br/>
        <w:t>Having regard to the notification file submitted in full to the merger service on June 16, 2011, regarding the acquisition of control of Groupe TWC SAS by L Capital Management, jointly with Financière Molière, formalized by an agreement dated June 8, 2011;</w:t>
        <w:br/>
        <w:t>Having regard to Book IV of the Commercial Code relating to the freedom of prices and competition, and in particular its Articles L. 430-1 to L. 430-7;</w:t>
        <w:br/>
        <w:t>Adopts the following decision:</w:t>
        <w:br/>
        <w:t>I. The concerned companies and the operation</w:t>
        <w:br/>
        <w:t>1. L Capital 3, a venture capital fund, is managed by L Capital Management, a simplified joint-stock company (hereinafter "L Capital"). L Capital, a private equity company whose activity is to manage three venture capital funds, is itself 100% owned by LVMH-Moët Hennessy – Louis Vuitton SA, a public limited company controlled by the Arnault group1. This company heads a group (hereinafter "LVMH") primarily active in the luxury sector worldwide. LVMH operates in six major business areas: fashion and leather goods, wines and spirits, selective distribution, perfumes and cosmetics, watches and jewelry, press and media. The Arnault group also controls Christian Dior SA, a public limited company active in the luxury sector.</w:t>
        <w:br/>
        <w:t>1 As of June 30, 2010, LVMH is directly or indirectly held by the Arnault Group at 47.42% of the capital and 63.45% of the voting rights.</w:t>
      </w:r>
    </w:p>
    <w:p>
      <w:r>
        <w:t>2. Financière Molière is an independent family company active in private equity and real estate investment. Through its funds, Financière Molière is active in various sectors, primarily those of retail watch and jewelry, packaging, and management consulting.</w:t>
        <w:br/>
        <w:t>3. Groupe TWC SAS (hereinafter "TWC") is a simplified joint-stock company, currently controlled at 78.89% by Financière Molière. It is active in the wholesale supply of mid-range fashion accessories (glasses, leather goods, jewelry, and watches).</w:t>
        <w:br/>
        <w:t>4. The notified transaction consists of the acquisition by L Capital, via L Capital 3, of 35% of the capital and voting rights of Financière TWLC, which itself holds 100% of TWC SAS. Financière Molière will remain a shareholder of Financière TWLC at 64.66%. It follows from the shareholders' agreement that organizes the joint governance of Financière TWLC by Financière Molière and L Capital that it will be managed by a president, appointed by Financière Molière, under the control of a strategic committee. This committee includes six members, three designated by Financière Molière and three designated by L Capital. The following decisions are exclusively within the competence of the Strategic Committee, deciding by a simple majority of its members: the annual budget, the business plan, the management package, or any other management incentive plan.</w:t>
        <w:br/>
        <w:t>5. As it results, in light of the preceding developments, in the joint control of TWC by Financière Molière and L Capital, the notified transaction constitutes a concentration operation within the meaning of Article L. 430-1 of the Commercial Code.</w:t>
        <w:br/>
        <w:t>6. The concerned companies together achieve a total worldwide turnover of over 150 million euros (Arnault group: […] billion euros in 2009; Financière Molière: […] million euros in 2010). The Arnault group and Financière Molière each achieve, in France, a turnover exceeding 50 million euros (Arnault group: […] billion euros in 2010; Financière Molière: […] million euros in 2010). Given these turnover figures,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w:t>
        <w:br/>
        <w:t>II. Delimitation of relevant markets</w:t>
        <w:br/>
        <w:t>7. LVMH, Christian Dior, and L Capital are primarily active in the luxury sector, as well as in the clothing supply sector and the retail distribution of mid-range clothing, shoes, and fashion accessories, through the company Dondup2 and the Sandro/Maje/Claudie Pierlot group3. The target company is active in the wholesale supply of mid-range fashion accessories (excluding luxury items).</w:t>
        <w:br/>
        <w:t>2 Dondup is an Italian company jointly controlled by L Capital and Italian management.</w:t>
        <w:br/>
        <w:t>3 Joint control of Sandro, Maje, Storenext, and HF Biousse by L Capital and Florac.</w:t>
      </w:r>
    </w:p>
    <w:p>
      <w:r>
        <w:t>1. LUXURY GOODS MARKETS</w:t>
        <w:br/>
        <w:t>8. The European Commission4 and the Competition Authority5 have defined luxury goods (cosmetics, haute couture or designer clothing, luxury ready-to-wear for men and women, leather goods) as high-quality items, relatively high-priced, and marketed under a prestigious brand. From the demand perspective, luxury goods are very poorly substitutable with other products.</w:t>
        <w:br/>
        <w:t>9. The distribution of luxury goods must be distinguished from the distribution of other products in that it is characterized by a network of sales outlets approved by manufacturers according to qualitative criteria, particularly concerning their location, geographical environment, and interior design, allowing for an appropriate presentation of products as well as the presence of specialized professional advice. These criteria primarily aim to protect the image of the brands. In contrast, the sale of ordinary products does not require such an environment, and these products are available in a much more diverse network of sales outlets6. Community practice has therefore considered retaining a market for the distribution of luxury goods7.</w:t>
        <w:br/>
        <w:t>10. In any case, for the purposes of the present operation, the question of the exact definition of the market can be left open insofar as, regardless of the delimitation retained, the conclusions of the analysis will remain unchanged.</w:t>
        <w:br/>
        <w:t>11. The European Commission has established that the luxury market is a market of at least community dimension8.</w:t>
        <w:br/>
        <w:t>2. MARKETS FOR THE DISTRIBUTION OF FASHION ACCESSORIES</w:t>
        <w:br/>
        <w:t>12. It is necessary to distinguish upstream markets from downstream markets.</w:t>
        <w:br/>
        <w:t>13. Regarding jewelry and watchmaking products, decision-making practice9 has recognized the existence of a market for watchmaking, jewelry, and goldsmithing ("HBJO") distinct from the market for costume jewelry and high jewelry products, the latter being included in luxury products.</w:t>
        <w:br/>
        <w:t>14. Within the HBJO market, the competition authority had distinguished three types of products:</w:t>
        <w:br/>
        <w:t>- small-volume watchmaking, which includes watches, bracelets, and watch movements;</w:t>
        <w:br/>
        <w:t>- precious jewelry (jewelry made of precious metals, set or unset);</w:t>
        <w:br/>
        <w:t>4 See COMP/M.1780 LVMH / Prada / Fendi of May 25, 2000; IV/M.1534, Pinault-Printemps-Redoute / Gucci of July 22, 1999; Decision No. 05-D-06 of February 23, 2005, regarding a referral from Studio 26 against Rossimoda, Marc Jacob’s International, LVMH Fashion Group, and LVMH Fashion Group France.</w:t>
        <w:br/>
        <w:t>5 Decision No. 10-DCC-139 of October 27, 2010, regarding the joint acquisition of Maje, Sandro, Claudie Pierlot, and HF Biousse by L Capital and Florac.</w:t>
        <w:br/>
        <w:t>6 See in the perfume sector the letter from the Minister of Economy, Finance, and Industry to the Council of the Dougals Group, C 2006-65 of August 22, 2005.</w:t>
        <w:br/>
        <w:t>7 See IV/M.1534, Pinault-Printemps-Redoute / Gucci of July 22, 1999.</w:t>
        <w:br/>
        <w:t>8 See COMP/M.1780 LVMH / Prada / Fendi of May 25, 2000; IV/M.1534, Pinault-Printemps-Redoute / Gucci of July 22, 1999.</w:t>
        <w:br/>
        <w:t>9 In particular, Decision No. 10-DCC-140 of October 13, 2010, regarding the acquisition of Histoire d’Or SAS and Financière MO Holding SAS by Bridgepoint Capital Group Limited.</w:t>
      </w:r>
    </w:p>
    <w:p>
      <w:r>
        <w:rPr>
          <w:b/>
        </w:rPr>
        <w:t>[Pages 4–5]</w:t>
      </w:r>
    </w:p>
    <w:p>
      <w:r>
        <w:t>- non-precious jewelry (jewelry plated with precious metal or composed of an alloy incorporating precious metals as well as pewter, silver, or alloy goldsmith products).</w:t>
      </w:r>
    </w:p>
    <w:p>
      <w:r>
        <w:t>15. Furthermore, while competition authorities have had the opportunity to rule on the segmentation of the retail distribution market for small-volume watchmaking10, they have not identified any sub-segmentation in terms of products in the upstream wholesale supply market.</w:t>
      </w:r>
    </w:p>
    <w:p>
      <w:r>
        <w:t>16. Regarding eyewear, decision-making practice11 distinguishes between two markets:</w:t>
        <w:br/>
        <w:t>- medical-use items (eyeglass lenses, contact lenses);</w:t>
        <w:br/>
        <w:t>- non-medical items (frames, sunglasses, and sports glasses).</w:t>
      </w:r>
    </w:p>
    <w:p>
      <w:r>
        <w:t>17. Regarding leather goods, competition authorities12 have considered that leather goods, like other fashion accessories, constitute a segment of the clothing and ready-to-wear market. In the context of this decision, the question of whether leather goods belong to a distinct market may be left open, with the competitive analysis remaining unchanged.</w:t>
      </w:r>
    </w:p>
    <w:p>
      <w:r>
        <w:t>18. Concerning the geographical dimension of the upstream markets, competition authorities have only been called to rule on clothing markets, which are of a global size13. The notifying parties consider that for the other concerned products, the geographical markets are also of a global dimension as the main players in the markets are international. However, the question may be left open for the examination of the present operation, with the competitive analysis remaining unchanged.</w:t>
      </w:r>
    </w:p>
    <w:p>
      <w:r>
        <w:t>19. Regarding the geographical dimension of the downstream retail markets, competition authorities consider that these markets are local.</w:t>
      </w:r>
    </w:p>
    <w:p>
      <w:r>
        <w:t>I. Competitive Analysis</w:t>
        <w:br/>
        <w:t>20. There is no horizontal overlap of the activities of the parties to the present operation, as they are not present in the same markets.</w:t>
      </w:r>
    </w:p>
    <w:p>
      <w:r>
        <w:t>21. Regarding vertical effects, they are studied when the operation brings together players present at different levels of the value chain. In this case, L Capital and its parents are active primarily in the luxury sector in France, as well as in the retail distribution of mid-range clothing and leather goods, through the Sandro/Maje/Claudie Pierlot group14. The target company, for its part, is active in the wholesale supply of mid-range jewelry and watch products, eyewear, and leather goods (excluding luxury items).</w:t>
      </w:r>
    </w:p>
    <w:p>
      <w:r>
        <w:t>22. However, the feasibility and interest of foreclosure practices depend, primarily, on the market power of the integrated company. In this case, TWC's position in each of the upstream product markets is not significant, even when considered as national in scope. Its market shares are indeed limited to [0-5]% for HBJO, [5-10]% for watches, [0-5]% for jewelry items, [0-5]% for non-medical eyewear, and [0-5]% for leather goods.</w:t>
      </w:r>
    </w:p>
    <w:p>
      <w:r>
        <w:t>23. The same applies downstream where the Sandro/Maje/Claudie Pierlot group does not distribute eyewear or watch items and is only very marginally present in the sale of mid-range leather goods. Indeed, in the highly fragmented sector of mid-range clothing and fashion accessories sales, its offering in accessories represents only […]% of its turnover in 2010 regarding jewelry sales (representing a turnover of approximately […] million euros in 2010) and leather goods (representing a turnover of approximately […] million euros in 2010).</w:t>
      </w:r>
    </w:p>
    <w:p>
      <w:r>
        <w:t>24. In light of the elements of the file, the operation is not likely to harm competition in the concerned markets.</w:t>
      </w:r>
    </w:p>
    <w:p>
      <w:r>
        <w:t>DECIDES</w:t>
        <w:br/>
        <w:t>Sole Article: The notified operation under number 11-0103 is authorized.</w:t>
        <w:br/>
        <w:t>The President,</w:t>
        <w:br/>
        <w:t>Bruno Lasserre</w:t>
        <w:br/>
        <w:t>Competition Authority</w:t>
        <w:br/>
        <w:t>14 Joint control of Sandro, Maje, Storenext, and HF Biousse by L Capital and Florac.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