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https://www.autoritedelaconcurrence.fr/fr/decision-de-controle-des-concentrations/relative-la-prise-de-controle-de-la-societe-iss-holding</w:t>
      </w:r>
    </w:p>
    <w:p>
      <w:r>
        <w:t>Pages translated : 2</w:t>
      </w:r>
    </w:p>
    <w:p/>
    <w:p>
      <w:r>
        <w:rPr>
          <w:b/>
        </w:rPr>
        <w:t>[Pages 1–2]</w:t>
      </w:r>
    </w:p>
    <w:p>
      <w:r>
        <w:t>FRENCH REPUBLIC</w:t>
        <w:br/>
        <w:t>Decision No. 24-DCC-50 of March 26, 2024</w:t>
        <w:br/>
        <w:t>regarding the acquisition of control of ISS Holding Paris SAS by</w:t>
        <w:br/>
        <w:t>the Onet group</w:t>
        <w:br/>
        <w:t>The Competition Authority,</w:t>
        <w:br/>
        <w:t>Having regard to the complete notification file submitted to the mergers department on March 11, 2024,</w:t>
        <w:br/>
        <w:t>concerning the acquisition of control of ISS Holding Paris SAS and its subsidiaries, ISS Facility Services SAS and ISS Logistique et Production SAS, as well as the economic interest group ISS Services GIE, by the Onet group, formalized by an irrevocable purchase promise dated December 22, 2023;</w:t>
        <w:br/>
        <w:t>Having regard to Book IV of the Commercial Code relating to the freedom of prices and competition, and in particular its Articles L. 430-1 to L. 430-7;</w:t>
        <w:br/>
        <w:t>Adopts the following decision:</w:t>
        <w:br/>
        <w:t>1. The notified operation consists of the acquisition of control by the Onet group of ISS Holding Paris and its subsidiaries ISS Facility Services SAS and ISS Logistique et Production SAS, as well as the economic interest group ISS Services GIE. The target is active in the sectors of industrial cleaning, logistics services, multi-technical management and maintenance services, and corporate reception.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24-013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