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https://www.autoritedelaconcurrence.fr/fr/decision-de-controle-des-concentrations/relative-la-prise-de-controle-de-la-societe-jofrinette-par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23-DCC-197 of September 29, 2023  </w:t>
        <w:br/>
        <w:t xml:space="preserve">regarding the acquisition of control of the company Jofrinette by the company  </w:t>
        <w:br/>
        <w:t xml:space="preserve">ITM Entreprises  </w:t>
        <w:br/>
        <w:t xml:space="preserve">The Competition Authority,  </w:t>
        <w:br/>
        <w:t xml:space="preserve">Having regard to the complete notification file sent to the mergers department on September 13,  </w:t>
        <w:br/>
        <w:t xml:space="preserve">2023, concerning the acquisition of control of the company Jofrinette by the company ITM Entreprises,  </w:t>
        <w:br/>
        <w:t xml:space="preserve">formalized by a letter of intent dated September 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acquisition of control by Mrs. Gorin and the company  </w:t>
        <w:br/>
        <w:t xml:space="preserve">ITM Entreprises of the company Jofrinette, which operates a retail business outlet with a dominant food  </w:t>
        <w:br/>
        <w:t xml:space="preserve">supermarket type, with a surface area of 1,736 m², under the brand "Intermarché" located in Bartenheim  </w:t>
        <w:br/>
        <w:t xml:space="preserve">(68870). The operation constitutes a concentration operation within the meaning of Article L. 430-1 of the  </w:t>
        <w:br/>
        <w:t xml:space="preserve">Commercial Code. Given the revenues generated by the companies concerned, the operation does not fall  </w:t>
        <w:br/>
        <w:t xml:space="preserve">under the jurisdiction of the European Union. However, the retail control thresholds mentioned in II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23-239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