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https://www.autoritedelaconcurrence.fr/fr/decision-de-controle-des-concentrations/relative-la-prise-de-controle-de-la-societe-jureson-par</w:t>
      </w:r>
    </w:p>
    <w:p>
      <w:r>
        <w:t>Pages translated : 5</w:t>
      </w:r>
    </w:p>
    <w:p/>
    <w:p>
      <w:r>
        <w:rPr>
          <w:b/>
        </w:rPr>
        <w:t>[Pages 1–3]</w:t>
      </w:r>
    </w:p>
    <w:p>
      <w:r>
        <w:t xml:space="preserve">FRENCH REPUBLIC  </w:t>
        <w:br/>
        <w:t xml:space="preserve">Decision No. 10-DCC-118 of October 4, 2010  </w:t>
        <w:br/>
        <w:t xml:space="preserve">regarding the acquisition of control of the company Jureson  </w:t>
        <w:br/>
        <w:t>by Mr. X</w:t>
      </w:r>
    </w:p>
    <w:p>
      <w:r>
        <w:t xml:space="preserve">The Competition Authority,  </w:t>
        <w:br/>
        <w:t xml:space="preserve">Having regard to the notification file sent on July 9, 2010, to the merger service, declared complete on August 30, 2010, regarding the acquisition of control of the company Jureson by Mr. X, formalized by a share transfer protocol dated May 4, 2010;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The company ITM Entreprises, 100% controlled by the Société civile des Mousquetaires, itself held by 1,330 natural persons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2. The company ITM Alimentaire Sud-Est is a French law company held at [&gt;50]% by the company ITM Alimentaire France, which is itself held by the company ITM Entreprises.</w:t>
      </w:r>
    </w:p>
    <w:p>
      <w:r>
        <w:t xml:space="preserve">3. The company ITM Alimentaire Sud-Est and the ITM Entreprises group to which it belongs achieved, during the fiscal year ending December 31, 2009, a worldwide turnover excluding taxes of [20-30] billion euros, of which [15-25] billion in France.  </w:t>
        <w:br/>
        <w:t xml:space="preserve">4. Mr. X signed the membership charter of the Mousquetaires group on June 6, 2007. Currently, he holds the shares of the company Inige, a holding company, which holds the shares of the companies Foralp and Sadispin. These two companies each operate a retail outlet under the "Intermarché" brand, respectively in Forcalquier and Peipin. Together, they achieved a turnover of [&lt;50] million euros in 2009, the last closed fiscal year.  </w:t>
        <w:br/>
        <w:t xml:space="preserve">5. The company Jureson is a simplified joint-stock company that operates a predominantly food retail outlet under the "Intermarché" brand, located in the town of Oraison (04). The company Jureson is held at [&gt;50]% by the company Martori, a subsidiary of the company ITM Alimentaire Sud-Est. The company ITM Entreprises holds a preferred share in the capital of the company Jureson. Following the operation, the company Jureson will sign a brand contract for a duration of fifteen years. During the last closed fiscal year, the company Jureson achieved a total turnover excluding taxes of [&lt;15] million euros.  </w:t>
        <w:br/>
        <w:t xml:space="preserve">6. According to the share transfer protocol signed by the parties on May 4, 2010, Mr. X committed to acquire [&gt;50]% of the shares of the company Jureson in full ownership and [&lt;15]% in usufruct. Following the operation, the company ITM Entreprises will retain its preferred share. This share grants ITM Entreprises, for a duration of 25 years, the ability to block any change of brand, to oppose any transfer of shares, and to compel the majority shareholder to sell the business as soon as he operates a similar business under a competing brand. Furthermore, ITM Entreprises will retain, at the end of this period, a right of first refusal in the event of a sale for a duration of 5 years. Following the operation, the company Jureson will therefore be jointly controlled by Mr. X and the ITM group.  </w:t>
        <w:br/>
        <w:t>7. The transition from a sole control exercised by the ITM group to joint control constitutes a concentration within the meaning of Article L. 430-1 of the Commercial Code. Given the turnover of the companies concerned, this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8. According to the constant practice of national and community competition authorities, two categories of markets can be delineated in the retail sector predominantly food-related. These are, on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9.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breadth of the product ranges offered: (i) hypermarkets, (ii) supermarkets, (iii) specialized trade, (iv) small retail trade, (v) maxi-discounters, (vi) mail order.  </w:t>
        <w:br/>
        <w:t xml:space="preserve">10. Supermarkets are usually defined as food-dominant stores with a sales area of less than 2,500 m² and greater than 400 m². However, it should be noted that these thresholds must be used with caution and may be adapted to the specific case, given that stores whose area is close to a threshold, either below or above, may find themselves in direct competition with the facts.  </w:t>
        <w:br/>
        <w:t>11. In this case, the acquired store currently occupies a sales area of 763 m². It therefore falls into the category of supermarkets.</w:t>
      </w:r>
    </w:p>
    <w:p>
      <w:r>
        <w:t xml:space="preserve">2. GEOGRAPHICAL DELIMITATION  </w:t>
        <w:br/>
        <w:t xml:space="preserve">12. In its recent decisions regarding operations concerning hypermarkets or supermarkets, the Competition Authority has recalled that depending on the size of the stores concerned, the conditions of competition should be assessed in two different areas:  </w:t>
        <w:br/>
        <w:t xml:space="preserve">- a first market where the demand of consumers from an area meets the supply of hypermarkets to which they have access within less than 30 minutes of travel by car and which are, from their point of view, substitutable with each other;  </w:t>
        <w:br/>
        <w:t xml:space="preserve">- a second market where the demand of consumers meets the supply of supermarkets and equivalent forms of commerce located within less than 15 minutes of travel time by car. These latter forms of commerce may include, in addition to supermarkets, hypermarkets located near consumers and discount stores.  </w:t>
        <w:br/>
        <w:t>13. Other criteria may nevertheless be taken into account to assess the impact of a concentration on the competitive situation in the retail distribution markets, which may lead to refining, in the specific case, the usual delimitations presented above.</w:t>
      </w:r>
    </w:p>
    <w:p>
      <w:r>
        <w:rPr>
          <w:b/>
        </w:rPr>
        <w:t>[Pages 4–5]</w:t>
      </w:r>
    </w:p>
    <w:p>
      <w:r>
        <w:t>14. In the present case, the competitive analysis will therefore focus on the market including all hypermarkets, supermarkets, and maxi-discounters located within a 15-minute driving radius around Oraison.</w:t>
      </w:r>
    </w:p>
    <w:p>
      <w:r>
        <w:t>B. UPSTREAM SUPPLY MARKET</w:t>
      </w:r>
    </w:p>
    <w:p>
      <w:r>
        <w:t>15. Regarding the supply markets, the European Commission has recognized the existence of national dimension markets by major product groups, a delineation followed by national authorities.</w:t>
      </w:r>
    </w:p>
    <w:p>
      <w:r>
        <w:t>16. There is no reason to challenge this delineation on the occasion of the present operation.</w:t>
      </w:r>
    </w:p>
    <w:p>
      <w:r>
        <w:t>III. Competitive Analysis</w:t>
      </w:r>
    </w:p>
    <w:p>
      <w:r>
        <w:t>A. DOWNSTREAM DISTRIBUTION MARKET</w:t>
      </w:r>
    </w:p>
    <w:p>
      <w:r>
        <w:t>17. In the market comprising hypermarkets, supermarkets, and other equivalent forms of commerce, located within a 15-minute driving catchment area around Oraison, the Intermarché operated represents 11.9% of the sales area. Taking into account the supermarket operated under the Intermarché brand, located in Les-Mees, which holds 26.4% of the sales area, the supermarkets operated under an ITM Enterprises brand represent 38.3% of the sales area in the zone. They will notably face competition from a Carrefour Market supermarket which holds a market share of 42% in this catchment area.</w:t>
      </w:r>
    </w:p>
    <w:p>
      <w:r>
        <w:t>18. Furthermore, Mr. X owns on the edge of this area, a supermarket operated under the Intermarché brand in Forcalquier, with a sales area of 1,200 m². In a catchment area extended to 20 minutes by car around Oraison, this retail outlet represents 7.3% of the sales area. Mr. X will therefore hold a market share of 18.7% in this catchment area. All supermarkets operated under an ITM brand represent a cumulative market share of 34.9% in this same area.</w:t>
      </w:r>
    </w:p>
    <w:p>
      <w:r>
        <w:t>19. In any case, regardless of the catchment area considered, the operation does not affect the market share of the ITM group insofar as it previously held exclusive control of the company Jureson.</w:t>
      </w:r>
    </w:p>
    <w:p>
      <w:r>
        <w:t>B. UPSTREAM SUPPLY MARKET</w:t>
      </w:r>
    </w:p>
    <w:p>
      <w:r>
        <w:t>20. Regarding the upstream supply markets, the operation, which concerns only one store, is not likely to significantly strengthen the purchasing power of the ITM Enterprises group, across all products as well as by major product groups.</w:t>
      </w:r>
    </w:p>
    <w:p>
      <w:r>
        <w:t>21. Consequently, the operation is not likely to harm competition both in the downstream market and in the upstream supply market.</w:t>
      </w:r>
    </w:p>
    <w:p>
      <w:r>
        <w:t>DECIDES</w:t>
      </w:r>
    </w:p>
    <w:p>
      <w:r>
        <w:t>Sole Article: The operation notified under number 10-0104 is authorized.</w:t>
      </w:r>
    </w:p>
    <w:p>
      <w:r>
        <w:t>The President,</w:t>
      </w:r>
    </w:p>
    <w:p>
      <w:r>
        <w:t>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