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https://www.autoritedelaconcurrence.fr/fr/decision-de-controle-des-concentrations/relative-la-prise-de-controle-de-la-societe-koesio</w:t>
      </w:r>
    </w:p>
    <w:p>
      <w:r>
        <w:t>Pages translated : 2</w:t>
      </w:r>
    </w:p>
    <w:p/>
    <w:p>
      <w:r>
        <w:rPr>
          <w:b/>
        </w:rPr>
        <w:t>[Pages 1–2]</w:t>
      </w:r>
    </w:p>
    <w:p>
      <w:r>
        <w:t xml:space="preserve">FRENCH REPUBLIC  </w:t>
        <w:br/>
        <w:t xml:space="preserve">Decision No. 24-DCC-46 of March 19, 2024  </w:t>
        <w:br/>
        <w:t xml:space="preserve">regarding the acquisition of control of the company Koesio Corporate Technologies by the company Koesio Groupe  </w:t>
        <w:br/>
        <w:t xml:space="preserve">The Competition Authority,  </w:t>
        <w:br/>
        <w:t xml:space="preserve">Having regard to the complete notification file submitted to the mergers department on March 1, 2024, concerning the acquisition of control of the company Koesio Corporate Technologies and its subsidiary, the company Koesio Corporate Technologies Switzerland, by the company Koesio Groupe, formalized by a share transfer agreement dated July 21,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control by the company Koesio Groupe of the company Koesio Corporate Technologies and its subsidiary, the company Koesio Corporate Technologies Switzerland, active in the sector of distribution to professionals of IT products and services. The operation constitutes a concentration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24-041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