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https://www.autoritedelaconcurrence.fr/fr/decision-de-controle-des-concentrations/relative-la-prise-de-controle-de-la-societe-la-financiere</w:t>
      </w:r>
    </w:p>
    <w:p>
      <w:r>
        <w:t>Pages translated : 3</w:t>
      </w:r>
    </w:p>
    <w:p/>
    <w:p>
      <w:r>
        <w:rPr>
          <w:b/>
        </w:rPr>
        <w:t>[Pages 1–3]</w:t>
      </w:r>
    </w:p>
    <w:p>
      <w:r>
        <w:t xml:space="preserve">FRENCH REPUBLIC  </w:t>
        <w:br/>
        <w:t xml:space="preserve">Decision No. 10-DCC-170 of November 24, 2010  </w:t>
        <w:br/>
        <w:t xml:space="preserve">regarding the acquisition of control of La Financière Auroise by  </w:t>
        <w:br/>
        <w:t>IK Invest B.V. through Snack International Développement II</w:t>
      </w:r>
    </w:p>
    <w:p>
      <w:r>
        <w:t xml:space="preserve">The Competition Authority,  </w:t>
        <w:br/>
        <w:t xml:space="preserve">Having regard to the notification file submitted in full to the merger service on  </w:t>
        <w:br/>
        <w:t xml:space="preserve">October 18, 2010, concerning the acquisition of control of La Financière Auroise (hereinafter  </w:t>
        <w:br/>
        <w:t xml:space="preserve">“LFA”) by IK Invest B.V. through Snack International Développement II SAS, formalized by a  </w:t>
        <w:br/>
        <w:t xml:space="preserve">transfer agreement dated October 12, 2010;  </w:t>
        <w:br/>
        <w:t xml:space="preserve">Having regard to Book IV of the Commercial Code relating to the freedom of prices and  </w:t>
        <w:br/>
        <w:t xml:space="preserve">competition, and in particular its Articles L. 430-1 to L. 430-7;  </w:t>
        <w:br/>
        <w:t>Adopts the following decision:</w:t>
      </w:r>
    </w:p>
    <w:p>
      <w:r>
        <w:t xml:space="preserve">I. The concerned companies and the operation  </w:t>
        <w:br/>
        <w:t xml:space="preserve">1. IK Invest B.V. is a Dutch law company whose activity is to invest in medium or large  </w:t>
        <w:br/>
        <w:t xml:space="preserve">European companies through four IK investment funds. The share capital of IK Invest B.V. is  </w:t>
        <w:br/>
        <w:t xml:space="preserve">held by individuals none of whom exercise a decisive influence over IK Invest B.V. Snack  </w:t>
        <w:br/>
        <w:t xml:space="preserve">International Développement II is a simplified joint-stock company under French law,  </w:t>
        <w:br/>
        <w:t xml:space="preserve">constituting a newly created ad hoc acquisition structure, controlled by the Luxembourg  </w:t>
        <w:br/>
        <w:t xml:space="preserve">company Rhéa International Sarl. The latter is held by one of the four IK investment funds.  </w:t>
        <w:br/>
        <w:t xml:space="preserve">The IK investment funds control several companies active in various sectors: plastic  </w:t>
        <w:br/>
        <w:t xml:space="preserve">packaging (Superfos), adhesives (Dynea), mobility aids for disabled persons (Welzorg),  </w:t>
        <w:br/>
        <w:t xml:space="preserve">hard discount product distribution (Europris), energy (Index), retail (Suomen Lähikauppa),  </w:t>
        <w:br/>
        <w:t xml:space="preserve">professional clothing (Kwintet), sports surfaces (Sport Group), safety equipment (Minimax),  </w:t>
        <w:br/>
        <w:t xml:space="preserve">health (Attendo), crushing processes (Magotteaux), turbines (Moventas), shock absorption  </w:t>
        <w:br/>
        <w:t xml:space="preserve">technologies (Axtone), industrial balancing (Schenck Process), construction (Etanco),  </w:t>
        <w:br/>
        <w:t xml:space="preserve">glasses (Flabeg), "corporate" and "trust" services (Vistra), agri-food consulting services  </w:t>
        <w:br/>
        <w:t xml:space="preserve">(Agros Nova), and dental services (Colosseum Dental).  </w:t>
        <w:br/>
        <w:t xml:space="preserve">2. The simplified joint-stock company La Financière Auroise (hereinafter "LFA") is a  </w:t>
        <w:br/>
        <w:t xml:space="preserve">French law holding company. It holds [...]% of the capital of Snack International, a public  </w:t>
        <w:br/>
        <w:t xml:space="preserve">limited company with an executive board and supervisory board, which is the parent company  </w:t>
        <w:br/>
        <w:t xml:space="preserve">of real estate civil companies (SCI Le Chêne Vert and SCI Marie Pierre) and three operational  </w:t>
        <w:br/>
        <w:t xml:space="preserve">subsidiaries (Europe Snacks, Frandex, and Immequip) specialized in the manufacture of snack  </w:t>
        <w:br/>
        <w:t xml:space="preserve">biscuits for major national distribution chains.  </w:t>
        <w:br/>
        <w:t xml:space="preserve">3. The operation, formalized by an agreement signed between the parties on October 12,  </w:t>
        <w:br/>
        <w:t xml:space="preserve">2010, concerns the acquisition by Snack International Développement II of all the shares of  </w:t>
        <w:br/>
        <w:t xml:space="preserve">LFA and thus indirectly [...]% of the capital and voting rights of Snack International. The  </w:t>
        <w:br/>
        <w:t xml:space="preserve">notified operation therefore results in the exclusive control of LFA and Snack International by  </w:t>
        <w:br/>
        <w:t xml:space="preserve">the IK Invest B.V. group, and constitutes a concentration within the meaning of Article L.  </w:t>
        <w:br/>
        <w:t xml:space="preserve">430-1 of the Commercial Code.  </w:t>
        <w:br/>
        <w:t xml:space="preserve">4. The concerned companies together achieved a consolidated turnover excluding taxes on a  </w:t>
        <w:br/>
        <w:t xml:space="preserve">global scale of more than 150 million euros in 2009 (IK Invest B.V: [...] million euros; LFA1:  </w:t>
        <w:br/>
        <w:t xml:space="preserve">[...] million euros). Each of these companies achieved a turnover in France exceeding 50  </w:t>
        <w:br/>
        <w:t xml:space="preserve">million euros in 2008 (IK Invest B.V: [...] million euros; LFA: [...] million euros). Given these  </w:t>
        <w:br/>
        <w:t xml:space="preserve">turnover figures, the operation does not have a community dimension. However, the control  </w:t>
        <w:br/>
        <w:t xml:space="preserve">thresholds mentioned in I of Article L. 430-2 of the Commercial Code are exceeded. This  </w:t>
        <w:br/>
        <w:t xml:space="preserve">operation is therefore subject to the provisions of Articles L. 430-3 and following of the  </w:t>
        <w:br/>
        <w:t>Commercial Code relating to economic concentration.</w:t>
      </w:r>
    </w:p>
    <w:p>
      <w:r>
        <w:t xml:space="preserve">II. Definition of the relevant markets  </w:t>
        <w:br/>
        <w:t xml:space="preserve">5. The company LFA, through Snack International, manufactures snack biscuits sold under  </w:t>
        <w:br/>
        <w:t xml:space="preserve">private labels (MDD). In the snack biscuit sector, previous decision-making practice, while  </w:t>
        <w:br/>
        <w:t xml:space="preserve">leaving the question open, did not find it relevant to distinguish between different types of  </w:t>
        <w:br/>
        <w:t xml:space="preserve">products (seeds, wafers, crackers...) or between MDD and manufacturer brands (MDF)2. It  </w:t>
        <w:br/>
        <w:t xml:space="preserve">also distinguished a market for the supply of snack biscuits under MDD to large retailers.  </w:t>
        <w:br/>
        <w:t xml:space="preserve">6. Regarding the geographical dimension of these markets, while leaving the question open,  </w:t>
        <w:br/>
        <w:t xml:space="preserve">it has been considered3 that this dimension is at least national.  </w:t>
        <w:br/>
        <w:t xml:space="preserve">7. Similarly, there is no need to conclude on the exact delimitation of the concerned markets  </w:t>
        <w:br/>
        <w:t xml:space="preserve">since, regardless of the solution adopted, the operation does not raise competition issues.  </w:t>
        <w:br/>
        <w:t xml:space="preserve">1 Last financial year ended January 31, 2010.  </w:t>
        <w:br/>
        <w:t xml:space="preserve">2 See the Letter from the Minister of Economy No. C2006-139 of January 25, 2007, Vico/Lorenz-Bahlsen, as well as the decisions of the  </w:t>
        <w:br/>
        <w:t xml:space="preserve">European Commission PepsiCo/General Mills No. IV/M.232 of August 5, 1992 and Granaria/ültje/Intersnack/May-Holding No.  </w:t>
        <w:br/>
        <w:t xml:space="preserve">COMP/JV.32 of May 28, 2000.  </w:t>
        <w:br/>
        <w:t>3 Letter from the Minister of Economy No. C2006-139 of January 25, 2007, Vico/Lorenz-Bahlsen.</w:t>
      </w:r>
    </w:p>
    <w:p>
      <w:r>
        <w:t xml:space="preserve">III. Competitive analysis  </w:t>
        <w:br/>
        <w:t xml:space="preserve">8. In a market for the supply to large retailers of snack biscuits under MDD, LFA's market share  </w:t>
        <w:br/>
        <w:t xml:space="preserve">is estimated by the notifying party at [10-20]% in France and [0-5]% at the community level. In the  </w:t>
        <w:br/>
        <w:t xml:space="preserve">event that a market for only snack wafers4 and a market for only extruded products for  </w:t>
        <w:br/>
        <w:t xml:space="preserve">snacking were distinguished, LFA supplies [70-80]% of the wafers sold under MDD in France and  </w:t>
        <w:br/>
        <w:t xml:space="preserve">[80-90]% of extruded products (respectively [10-20]% and [10-20]% at the community level).  </w:t>
        <w:br/>
        <w:t xml:space="preserve">However, none of the companies previously held by the IK investment funds are present in the  </w:t>
        <w:br/>
        <w:t xml:space="preserve">snack biscuit sector. The operation is therefore not likely to have horizontal effects.  </w:t>
        <w:br/>
        <w:t xml:space="preserve">9. The notifying party also points out that the IK investment funds hold two companies active in  </w:t>
        <w:br/>
        <w:t xml:space="preserve">the retail market for consumer goods: Europris Holding AS (Europris brand), active in the  </w:t>
        <w:br/>
        <w:t xml:space="preserve">import and distribution markets of hard discount products (grocery, hygiene, non-food, and  </w:t>
        <w:br/>
        <w:t xml:space="preserve">textiles) in Norway, Sweden, and Iceland; Suomen Lähikauppa Oy (Siwa, Valintatalo, and  </w:t>
        <w:br/>
        <w:t xml:space="preserve">Euromarket brands), active in the distribution of consumer goods in Finland.  </w:t>
        <w:br/>
        <w:t xml:space="preserve">10. However, since these companies do not operate in France, the operation is not likely to  </w:t>
        <w:br/>
        <w:t xml:space="preserve">harm competition in the national market through vertical effects.  </w:t>
        <w:br/>
        <w:t xml:space="preserve">11. In light of the above elements, the operation is not likely to harm competition in the  </w:t>
        <w:br/>
        <w:t>concerned markets.</w:t>
      </w:r>
    </w:p>
    <w:p>
      <w:r>
        <w:t xml:space="preserve">DECIDES  </w:t>
        <w:br/>
        <w:t xml:space="preserve">Single Article: The operation notified under number 10-0179 is authorized.  </w:t>
        <w:br/>
        <w:t xml:space="preserve">The Vice-President,  </w:t>
        <w:br/>
        <w:t xml:space="preserve">Françoise Aubert  </w:t>
        <w:br/>
        <w:t xml:space="preserve">Competition Authority  </w:t>
        <w:br/>
        <w:t>4 Reconstituted chips made from potato flour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