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https://www.autoritedelaconcurrence.fr/fr/decision-de-controle-des-concentrations/relative-la-prise-de-controle-de-la-societe-lamuredis-par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22-DCC-95 of June 7, 2022  </w:t>
        <w:br/>
        <w:t xml:space="preserve">regarding the acquisition of control of the company Lamuredis by the company  </w:t>
        <w:br/>
        <w:t xml:space="preserve">Système U Est  </w:t>
        <w:br/>
        <w:t xml:space="preserve">The Competition Authority,  </w:t>
        <w:br/>
        <w:t xml:space="preserve">Having regard to the complete notification file sent to the mergers department on May 18, 2022,  </w:t>
        <w:br/>
        <w:t xml:space="preserve">concerning the acquisition of control by the company Coopérative U Enseigne of the company Lamuredis,  </w:t>
        <w:br/>
        <w:t xml:space="preserve">formalized by a probationary protocol dated September 1,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acquisition of control of the company Lamuredis, operating  </w:t>
        <w:br/>
        <w:t xml:space="preserve">a predominantly food retail business in the form of a supermarket with a sales area of  </w:t>
        <w:br/>
        <w:t xml:space="preserve">1780 m², under the brand Super U, in the city of La Mure (38), by the company Coopérative U  </w:t>
        <w:br/>
        <w:t xml:space="preserve">Enseigne and Mr. Colas. It constitutes a concentration operation within the meaning of Article  </w:t>
        <w:br/>
        <w:t xml:space="preserve">L. 430-1 of the Commercial Code. Given the turnover achieved by the companies  </w:t>
        <w:br/>
        <w:t xml:space="preserve">concerned, the operation does not fall under the jurisdiction of the European Union. On the other hand,  </w:t>
        <w:br/>
        <w:t xml:space="preserve">the retail control thresholds mentioned in II of Article L. 430-2 of the  </w:t>
        <w:br/>
        <w:t xml:space="preserve">Commercial Code are exceeded. This operation is therefore subject to the provisions of  </w:t>
        <w:br/>
        <w:t xml:space="preserve">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22-106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