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https://www.autoritedelaconcurrence.fr/fr/decision-de-controle-des-concentrations/relative-la-prise-de-controle-de-la-societe-lanrod-par-la</w:t>
      </w:r>
    </w:p>
    <w:p>
      <w:r>
        <w:t>Pages translated : 5</w:t>
      </w:r>
    </w:p>
    <w:p/>
    <w:p>
      <w:r>
        <w:rPr>
          <w:b/>
        </w:rPr>
        <w:t>[Pages 1–3]</w:t>
      </w:r>
    </w:p>
    <w:p>
      <w:r>
        <w:t xml:space="preserve">FRENCH REPUBLIC  </w:t>
        <w:br/>
        <w:t xml:space="preserve">Decision No. 10-DCC-102 of August 31, 2010  </w:t>
        <w:br/>
        <w:t xml:space="preserve">regarding the acquisition of control of the company Lanrod  </w:t>
        <w:br/>
        <w:t>by the company ITM Alimentaire Centre Est</w:t>
      </w:r>
    </w:p>
    <w:p>
      <w:r>
        <w:t xml:space="preserve">The Competition Authority,  </w:t>
        <w:br/>
        <w:t xml:space="preserve">Having regard to the notification file sent to the merger service on August 2, 2010, and declared complete on August 2, 2010, regarding the acquisition of control of the company Lanrod by the company ITM Alimentaire Centre Est;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w:t>
      </w:r>
    </w:p>
    <w:p>
      <w:r>
        <w:t>2. The company ITM Alimentaire Centre-Est is a company under French law held at more than [&gt;50]% by the company ITM Alimentaire France, which is itself held by the company ITM Entreprises. The company ITM Entreprises has entrusted ITM Alimentaire Centre-Est with the management and development of the franchise network operating under the brands Intermarché, Ecomarché, and Netto in the Centre-Est region of France.</w:t>
      </w:r>
    </w:p>
    <w:p>
      <w:r>
        <w:t>3. The company ITM Alimentaires Centre-Est and the ITM Entreprises group to which it belongs achieved, during the fiscal year ending December 31, 2009, a worldwide turnover excluding taxes of [20-30] billion euros, of which [15-25] was in France.</w:t>
      </w:r>
    </w:p>
    <w:p>
      <w:r>
        <w:t>4. The company Lanrod is a simplified joint-stock company under French law that operates a food retail outlet, of the supermarket type, under the "Intermarché" brand located in Boen (42). The capital of the company Lanrod is held at more than [&gt;50]% by the X partners and at less than [&lt;50]% in bare ownership by ITM Alimentaire Centre-Est, with the usufruct being held by the X partners. ITM Entreprise additionally holds one share. As the Competition Authority has already considered in its decision 09-DCC-06 of May 20, 2009, regarding the exclusive acquisition of the company Evolis S.A.S by ITM Entreprises, ITM Alimentaire Centre-Est holds joint control, along with the X partners, of the company Lanrod. The company Lanrod achieved, during the last closed fiscal year, a turnover excluding taxes of [&gt;15] million euros.</w:t>
      </w:r>
    </w:p>
    <w:p>
      <w:r>
        <w:t>5. Mr. and Mrs. X have been signatories of the membership charter of the group of mousquetaires since March 9, 2000. They are also beneficiaries of a unilateral purchase promise by which ITM Centre-Est commits for a period of ten years from February 6, 2000, to acquire all the shares comprising the share capital of the company Lanrod in the event of the option being exercised by the beneficiaries. The option stipulated in this promise was exercised by Mr. and Mrs. X through an agreement concluded on June 30, 2010.</w:t>
      </w:r>
    </w:p>
    <w:p>
      <w:r>
        <w:t>6. Following the notified operation, ITM Alimentaire Centre-Est will hold all the shares of the company Lanrod. The notifying party emphasizes that this operation is provisional, and the acquired shares must be transferred back as soon as possible to a new operator.</w:t>
      </w:r>
    </w:p>
    <w:p>
      <w:r>
        <w:t>7. It follows from the above that after the operation, control of the company Lanrod will be exercised exclusively by the company ITM Entreprises. The notified operation is therefore analyzed as a change of control under Article L. 430-1 of the Commercial Code and thus constitutes a concentration operation.</w:t>
      </w:r>
    </w:p>
    <w:p>
      <w:r>
        <w:t>8.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9. According to the consistent practice of national and community competition authorities, two categories of markets can be delineated in the retail sector predominantly related to food. On the one hand, there are "downstream" markets, of local dimension, which involve retail businesses and consumers for the sale of consumer goods, and on the other hand, "upstream" markets for the supply of retail businesses with everyday consumer goods, of national dimension.</w:t>
      </w:r>
    </w:p>
    <w:p>
      <w:r>
        <w:t>A. DOWNSTREAM DISTRIBUTION MARKETS</w:t>
      </w:r>
    </w:p>
    <w:p>
      <w:r>
        <w:t xml:space="preserve">1. SERVICE MARKETS  </w:t>
        <w:br/>
        <w:t>10.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w:t>
      </w:r>
    </w:p>
    <w:p>
      <w:r>
        <w:t>11. Supermarkets are usually defined as stores with a predominant food offering with a sales area of less than 2,500 m² and greater than 400 m². However, it should be noted that these thresholds must be used with caution and may be adapted to the specific case, considering that stores whose area is near a threshold, either below or above, may be in direct competition with the facts.</w:t>
      </w:r>
    </w:p>
    <w:p>
      <w:r>
        <w:t>12. In the present case, the store concerned by the operation, which has a sales area of 2,000 m², falls into the category of supermarkets.</w:t>
      </w:r>
    </w:p>
    <w:p>
      <w:r>
        <w:t xml:space="preserve">2. GEOGRAPHICAL DELIMITATION  </w:t>
        <w:br/>
        <w:t xml:space="preserve">13. In its recent decisions regarding operations involving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less than 30 minutes of travel by car and which are, from their perspective, substitutable with each other;  </w:t>
        <w:br/>
        <w:t>-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w:t>
      </w:r>
    </w:p>
    <w:p>
      <w:r>
        <w:t>14. Other criteria may nevertheless be taken into account to assess the impact of a concentration on the competitive situation in retail distribution markets, which may lead to refining, in the specific case, the usual delimitations presented above.</w:t>
      </w:r>
    </w:p>
    <w:p>
      <w:r>
        <w:rPr>
          <w:b/>
        </w:rPr>
        <w:t>[Pages 4–5]</w:t>
      </w:r>
    </w:p>
    <w:p>
      <w:r>
        <w:t>15. In the present case, the competitive analysis will focus on the market comprising supermarkets and other equivalent forms of commerce within a 15-minute drive radius around Boen.</w:t>
      </w:r>
    </w:p>
    <w:p>
      <w:r>
        <w:t>B. UPSTREAM SUPPLY MARKET</w:t>
      </w:r>
    </w:p>
    <w:p>
      <w:r>
        <w:t>16. Regarding supply markets, the European Commission has identified the existence of national dimension markets by major product groups, a delineation followed by national authorities.</w:t>
      </w:r>
    </w:p>
    <w:p>
      <w:r>
        <w:t>17. There is no reason to challenge this delineation in the context of the current operation.</w:t>
      </w:r>
    </w:p>
    <w:p>
      <w:r>
        <w:t>III. Competitive Analysis</w:t>
      </w:r>
    </w:p>
    <w:p>
      <w:r>
        <w:t>A. DOWNSTREAM DISTRIBUTION MARKET</w:t>
      </w:r>
    </w:p>
    <w:p>
      <w:r>
        <w:t>18. In the market comprising supermarkets and other equivalent forms of commerce, located within a 15-minute drive catchment area around Boen, the store operated by the target represents 14% of market share expressed in sales area (i.e., 2,000 m² out of a total area of 14,083 m²). Also present in the Boen area is a supermarket under the "Ecomarché" brand located in Saint Germain Laval holding 6% of market share. The hypermarkets, supermarkets, and maxi-discount stores operated under the ITM Enterprises brand thus represent, in the 15-minute catchment area around Boen, a cumulative market share of 20%.</w:t>
      </w:r>
    </w:p>
    <w:p>
      <w:r>
        <w:t>19. These stores face competition from a hypermarket under the Carrefour brand representing 44% of the surfaces in this area, as well as from several supermarkets under the Auchan, Lidl, and Aldi brands.</w:t>
      </w:r>
    </w:p>
    <w:p>
      <w:r>
        <w:t>20. Consequently, the operation is not likely to harm competition in the markets concerned.</w:t>
      </w:r>
    </w:p>
    <w:p>
      <w:r>
        <w:t>B. UPSTREAM SUPPLY MARKET</w:t>
      </w:r>
    </w:p>
    <w:p>
      <w:r>
        <w:t>21. Regarding upstream supply markets, the operation, which concerns only one store, is not likely to significantly strengthen the purchasing power of the ITM Enterprises group, across all products as well as by major product groups.</w:t>
      </w:r>
    </w:p>
    <w:p>
      <w:r>
        <w:t>22. Consequently, the operation is not likely to harm competition both in the downstream market and in the upstream supply market.</w:t>
      </w:r>
    </w:p>
    <w:p>
      <w:r>
        <w:t>DECIDES</w:t>
      </w:r>
    </w:p>
    <w:p>
      <w:r>
        <w:t>Sole Article: The operation notified under number 10-0120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