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https://www.autoritedelaconcurrence.fr/fr/decision-de-controle-des-concentrations/relative-la-prise-de-controle-de-la-societe-lascap-par-la</w:t>
      </w:r>
    </w:p>
    <w:p>
      <w:r>
        <w:t>Pages translated : 5</w:t>
      </w:r>
    </w:p>
    <w:p/>
    <w:p>
      <w:r>
        <w:rPr>
          <w:b/>
        </w:rPr>
        <w:t>[Pages 1–3]</w:t>
      </w:r>
    </w:p>
    <w:p>
      <w:r>
        <w:t>FRENCH REPUBLIC</w:t>
        <w:br/>
        <w:t>Decision No. 10-DCC-136 of October 22, 2010</w:t>
        <w:br/>
        <w:t>regarding the acquisition of control of the company Lascap</w:t>
        <w:br/>
        <w:t>by the company Fivaro and the ITM Entreprises group</w:t>
        <w:br/>
        <w:t>The Competition Authority,</w:t>
        <w:br/>
        <w:t>Having regard to the notification file sent to the concentrations service on September 17, 2010, and declared complete on the same date, regarding the acquisition of control of the company Lascap by the company Fivaro and the ITM Entreprises group;</w:t>
        <w:br/>
        <w:t>Having regard to Book IV of the Commercial Code relating to price freedom and competition, and in particular its Articles L. 430-1 to L. 430-7;</w:t>
        <w:br/>
        <w:t>Adopts the following decision:</w:t>
        <w:br/>
        <w:t>I. The concerned companies and the operation</w:t>
        <w:br/>
        <w:t>1. The company ITM Entreprises, 100% controlled by the civil company of Mousquetaires, itself held by 1,330 natural persons known as "associated members," leads and animates the network of independent merchants known as the "Groupement des Mousquetaires." In its capacity as franchisor, the company ITM Entreprises has as its main activity the animation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retail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referenced suppliers outside the "Groupement des Mousquetaires."</w:t>
        <w:br/>
        <w:t>2. The company ITM Alimentaire Centre-Est is a company under French law held at [&gt;50]% by the company ITM Alimentaire France, itself held by the company ITM Entreprises. The company ITM Entreprises has entrusted the company ITM Alimentaire Centre-Est with the animation and development of the network of franchisees operating under the brands Intermarché, Ecomarché, and Netto in the Centre-Est region of France.</w:t>
      </w:r>
    </w:p>
    <w:p>
      <w:r>
        <w:t>3. The company Fivaro is a simplified joint-stock company under French law whose purpose is the direct holding and management of a majority stake in the company Sapogent, which operates a retail outlet under the Intermarché brand in Varennes-sous-Dun (71). The share capital of the company Fivaro is majority-owned by Mr. and Mrs. X, with ITM Alimentaire Centre-Est holding [&gt;20]% of the capital in bare ownership and ITM Entreprises holding one share. It follows from this distribution and the provisions of the statutes that the ITM group exercises control over Fivaro, jointly with Mr. and Mrs. X.</w:t>
        <w:br/>
        <w:t>4. The company Lascap is a simplified joint-stock company under French law that operates a predominantly food retail outlet under the "Intermarché" brand located in Saint-Cyprien (42). Its capital is held by ITM Alimentaire Centre-Est, with ITM Entreprises holding one share.</w:t>
        <w:br/>
        <w:t>5. According to the share transfer protocol under suspensive conditions signed by the parties on July 21, 2010, the company Fivaro has committed to acquire [&gt;50]% of the shares of the company Lascap in full ownership and [&lt;10]% in usufruct. The company ITM Alimentaire Centre-Est retains the bare ownership of [&lt;10]% of the capital and ITM Entreprises retains one share. At the end of the operation, it is planned that the company Lascap will sign a brand contract for a duration of fifteen years with ITM Entreprises. The statutes of the company Sapogent will also be amended to convert the share of ITM Entreprises into a preferred share, giving it the ability to block any change of brand for fifteen years.</w:t>
        <w:br/>
        <w:t>6. The notified operation is analyzed as the acquisition of control by the company Fivaro of the company Lascap, jointly with the ITM Entreprises group. It constitutes a concentration operation within the meaning of Article L. 430-1 of the Commercial Code. However, the adoption by the company Sapogent of new statutes does not entail a change in the quality of control exercised over this company, as the ITM group already held joint control over its parent company, the company Fivaro.</w:t>
        <w:br/>
        <w:t>7. The concerned companies operate one or more retail stores and together achieve a total worldwide turnover of more than 75 million euros (ITM Entreprises group: […] billion euros for the fiscal year ending December 31, 2009; the company Fivaro: […] million euros; the company Lascap: […] million euros for the same year). Each achieves in France in the retail sector a turnover exceeding 15 million euros (ITM Entreprises group: […] billion euros for the fiscal year ending December 31, 2009; the company Fivaro and the company Lascap: the turnovers mentioned above are entirely realized in France). Given these turnover figures, the operation does not have a community dimension. However, the control thresholds related to retail mentioned in point II of Article L. 430-2 of the Commercial Code are exceeded. This operation is therefore subject to the provisions of Articles L. 430-3 and following of the Commercial Code relating to economic concentration.</w:t>
      </w:r>
    </w:p>
    <w:p>
      <w:r>
        <w:t>II. Delimitation of Relevant Markets</w:t>
        <w:br/>
        <w:t>8. According to the consistent practice of national and community competition authorities1, two categories of markets can be delineated2 in the predominantly food distribution sector. These are, on the one hand, the "downstream" markets, of local dimension, which bring together retail companies and consumers for the sale of consumer goods, and on the other hand, the "upstream" markets for the supply of retail companies with everyday consumer goods, of national dimension.</w:t>
        <w:br/>
        <w:t>A. DOWNSTREAM DISTRIBUTION MARKETS</w:t>
        <w:br/>
        <w:t>1. SERVICE MARKETS</w:t>
        <w:br/>
        <w:t>9. With regard to the retail sale of everyday consumer goods, competition authorities, both community and national3, have distinguished six categories of commerce using several criteria, including store size, sales techniques, accessibility, the nature of the service provided, and the range of products offered: (i) hypermarkets, (ii) supermarkets, (iii) specialized commerce, (iv) small retail commerce, (v) maxi discounters, (vi) mail order sales.</w:t>
        <w:br/>
        <w:t>10. Supermarkets are usually defined as food-dominant stores with a sales area of less than 2,500 m² and more than 400 m². However, it should be noted that these thresholds must be used with caution and may be adapted to the specific case, given that stores whose area is close to a threshold, either below or above, may find themselves in direct competition with the facts.</w:t>
        <w:br/>
        <w:t>11. In this case, the acquired store currently occupies a sales area of 2,480 m². It therefore falls into the category of hypermarkets.</w:t>
        <w:br/>
        <w:t>2. GEOGRAPHICAL DELIMITATION</w:t>
        <w:br/>
        <w:t>12. In its recent decisions4 concerning operations involving hypermarkets or supermarkets, the Competition Authority has recalled that two types of markets are usually distinguished, based on catchment areas:</w:t>
      </w:r>
    </w:p>
    <w:p>
      <w:r>
        <w:rPr>
          <w:b/>
        </w:rPr>
        <w:t>[Pages 4–5]</w:t>
      </w:r>
    </w:p>
    <w:p>
      <w:r>
        <w:t>- a first market where the demand of consumers from an area meets the supply of hypermarkets they can access within less than 30 minutes by car and which are, from their perspective, substitutable with each other;</w:t>
        <w:br/>
        <w:t>- a second market where the demand of consumers meets the supply of supermarkets and equivalent forms of commerce located within less than 15 minutes by car. These latter forms of commerce may include, in addition to supermarkets, hypermarkets located near consumers and discount stores.</w:t>
      </w:r>
    </w:p>
    <w:p>
      <w:r>
        <w:t>13. Other criteria may nevertheless be taken into account to assess the impact of a concentration on the competitive situation in retail distribution markets, which may lead to refining, in the specific case, the usual delimitations presented above.</w:t>
      </w:r>
    </w:p>
    <w:p>
      <w:r>
        <w:t>14. In the specific case, the store concerned by the operation is a hypermarket since its area is 2,480 m². The competitive analysis will therefore focus on the two markets, one including hypermarkets located within a 30-minute radius around Saint-Cyprien (42) and the other including all supermarkets and maxi-discount stores located within a catchment area of 15 minutes around the same city.</w:t>
      </w:r>
    </w:p>
    <w:p>
      <w:r>
        <w:t>3. UPSTREAM SUPPLY MARKET</w:t>
      </w:r>
    </w:p>
    <w:p>
      <w:r>
        <w:t>15. With regard to supply markets, the European Commission5 has recognized the existence of markets of national dimension by major product groups, a delimitation followed by national authorities6.</w:t>
      </w:r>
    </w:p>
    <w:p>
      <w:r>
        <w:t>16. There is no need to challenge this delimitation in the context of the present operation.</w:t>
      </w:r>
    </w:p>
    <w:p>
      <w:r>
        <w:t>III. Competitive Analysis</w:t>
        <w:br/>
        <w:t>A. DOWNSTREAM DISTRIBUTION MARKET</w:t>
      </w:r>
    </w:p>
    <w:p>
      <w:r>
        <w:t>17. In the market including hypermarkets located within a 30-minute catchment area by car around Saint-Cyprien, the hypermarket operated by the ITM Entreprises group currently represents 3% of the sales area. Aside from the store concerned, no other hypermarket operated under a brand belonging to the ITM Entreprises group is present in a 30-minute catchment area around Saint-Cyprien.</w:t>
      </w:r>
    </w:p>
    <w:p>
      <w:r>
        <w:t>18. In the market including hypermarkets, supermarkets, and other equivalent forms of commerce located within a 15-minute catchment area by car around Saint-Cyprien, the hypermarket operated by the company Lascap represents nearly 4% of the sales area. Given the presence in the same area of another retail outlet bearing a brand of the Intermarché group, the retail outlets under the ITM Entreprises brand will total nearly 17% of the sales area. The extensions of sales areas obtained by competing groups are expected to result in a reduction of this market share.</w:t>
      </w:r>
    </w:p>
    <w:p>
      <w:r>
        <w:t>19. Therefore, the operation is not likely to harm competition in the markets concerned.</w:t>
      </w:r>
    </w:p>
    <w:p>
      <w:r>
        <w:t>B. UPSTREAM SUPPLY MARKET</w:t>
      </w:r>
    </w:p>
    <w:p>
      <w:r>
        <w:t>20. With regard to upstream supply markets, the operation, which concerns only one store, is not likely to significantly strengthen the purchasing power of the ITM Entreprises group, across all products as well as by major product groups.</w:t>
      </w:r>
    </w:p>
    <w:p>
      <w:r>
        <w:t>21. Therefore, the operation is not likely to harm competition in either the downstream market or the upstream market of distribution.</w:t>
      </w:r>
    </w:p>
    <w:p>
      <w:r>
        <w:t>DECIDES</w:t>
      </w:r>
    </w:p>
    <w:p>
      <w:r>
        <w:t>Sole Article: The operation notified under number 10-0155 is authorized.</w:t>
      </w:r>
    </w:p>
    <w:p>
      <w:r>
        <w:t>The Vice-President,</w:t>
        <w:br/>
        <w:t>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