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https://www.autoritedelaconcurrence.fr/fr/decision-de-controle-des-concentrations/relative-la-prise-de-controle-de-la-societe-maloubel-par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19-DCC-158 of August 9, 2019  </w:t>
        <w:br/>
        <w:t xml:space="preserve">regarding the acquisition of control of the company Maloubel by the companies  </w:t>
        <w:br/>
        <w:t xml:space="preserve">ITM Entreprises and Pieramax  </w:t>
        <w:br/>
        <w:t xml:space="preserve">The Competition Authority,  </w:t>
        <w:br/>
        <w:t xml:space="preserve">Having regard to the complete notification file sent to the mergers department on July 19, 2019,  </w:t>
        <w:br/>
        <w:t xml:space="preserve">concerning the joint acquisition of control of the company Maloubel by the companies ITM Entreprises  </w:t>
        <w:br/>
        <w:t xml:space="preserve">and Pieramax, and formalized by a synallagmatic promise of transfer of shares dated  </w:t>
        <w:br/>
        <w:t xml:space="preserve">July 16, 2019;  </w:t>
        <w:br/>
        <w:t xml:space="preserve">Having regard to Book IV of the Commercial Code relating to the freedom of prices and competition, and  </w:t>
        <w:br/>
        <w:t xml:space="preserve">in particular its Articles L. 430-1 to L. 430-7;  </w:t>
        <w:br/>
        <w:t xml:space="preserve">Adopts the following decision:  </w:t>
        <w:br/>
        <w:t xml:space="preserve">1. The notified transaction consists of the joint acquisition of control by the companies ITM Entreprises  </w:t>
        <w:br/>
        <w:t xml:space="preserve">and Pieramax of the company Maloubel, which operates a predominantly food retail outlet  </w:t>
        <w:br/>
        <w:t xml:space="preserve">under the Netto brand, with a surface area of 820 m², located in Aurillac (15). It constitutes a  </w:t>
        <w:br/>
        <w:t xml:space="preserve">concentration operation within the meaning of Article L. 430-1 of the Commercial Code. Given the  </w:t>
        <w:br/>
        <w:t xml:space="preserve">turnover generated by the companies involved, the operation does not fall under the jurisdiction of  </w:t>
        <w:br/>
        <w:t xml:space="preserve">the European Union. However, the retail control thresholds mentioned in point II of Article L. 430-2  </w:t>
        <w:br/>
        <w:t xml:space="preserve">of the Commercial Code are exceeded. This operation is therefore subject to the provisions of  </w:t>
        <w:br/>
        <w:t xml:space="preserve">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notified operation under number 19-195 is authorized.  </w:t>
        <w:br/>
        <w:t xml:space="preserve">The Vice-President,  </w:t>
        <w:br/>
        <w:t xml:space="preserve">Irène Luc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