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https://www.autoritedelaconcurrence.fr/fr/decision-de-controle-des-concentrations/relative-la-prise-de-controle-de-la-societe-perogros-par-la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11-DCC-67 of May 16, 2011  </w:t>
        <w:br/>
        <w:t xml:space="preserve">regarding the acquisition of control of the company PEROGROS by the company  </w:t>
        <w:br/>
        <w:t xml:space="preserve">PHILDAV, jointly with the company ITM Entreprises  </w:t>
        <w:br/>
        <w:t xml:space="preserve">The Competition Authority,  </w:t>
        <w:br/>
        <w:t xml:space="preserve">Having regard to the complete notification file sent to the mergers department on April 13, 2011,  </w:t>
        <w:br/>
        <w:t xml:space="preserve">concerning the acquisition of control of the company PEROGROS by the company PHILDAV,  </w:t>
        <w:br/>
        <w:t xml:space="preserve">jointly with the company ITM Entreprises, formalized by an agreement dated  </w:t>
        <w:br/>
        <w:t xml:space="preserve">December 29, 2010;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of the company PEROGROS operating a  </w:t>
        <w:br/>
        <w:t xml:space="preserve">supermarket under the Netto brand in Peronne (80) by the company PHILDAV, jointly  </w:t>
        <w:br/>
        <w:t xml:space="preserve">with the company ITM Entreprises, and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L. 430-2 of the  </w:t>
        <w:br/>
        <w:t xml:space="preserve">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11-0068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