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https://www.autoritedelaconcurrence.fr/fr/decision-de-controle-des-concentrations/relative-la-prise-de-controle-de-la-societe-pobi-industrie</w:t>
      </w:r>
    </w:p>
    <w:p>
      <w:r>
        <w:t>Pages translated : 12</w:t>
      </w:r>
    </w:p>
    <w:p/>
    <w:p>
      <w:r>
        <w:rPr>
          <w:b/>
        </w:rPr>
        <w:t>[Pages 1–3]</w:t>
      </w:r>
    </w:p>
    <w:p>
      <w:r>
        <w:t>FRENCH REPUBLIC</w:t>
        <w:br/>
        <w:t>Decision No. 25-DCC-164 of July 17, 2025</w:t>
        <w:br/>
        <w:t>regarding the acquisition of control of POBI Industrie and assets</w:t>
        <w:br/>
        <w:t>of A.S.T. Groupe by Hexaom and Trecobat through</w:t>
        <w:br/>
        <w:t>the creation of a joint venture</w:t>
        <w:br/>
        <w:t>The Competition Authority,</w:t>
        <w:br/>
        <w:t>Having regard to the notification file submitted to the merger control service on October 17, 2024,</w:t>
        <w:br/>
        <w:t>declared complete on February 21, 2025, regarding the acquisition of control of POBI Industrie</w:t>
        <w:br/>
        <w:t>and assets belonging to A.S.T. Groupe by Hexaom and Trecobat, through</w:t>
        <w:br/>
        <w:t>the creation of a joint venture, formalized by the takeover offer of</w:t>
        <w:br/>
        <w:t>September 30, 2024, and the judgment of the Commercial Court of Lyon of November 26, 2024;</w:t>
        <w:br/>
        <w:t>Having regard to Book IV of the Commercial Code relating to price and competition freedom, and</w:t>
        <w:br/>
        <w:t>notably its Articles L. 430-1 to L. 430-7;</w:t>
        <w:br/>
        <w:t>Having regard to the supplementary elements transmitted by the notifying parties during</w:t>
        <w:br/>
        <w:t>the investigation;</w:t>
        <w:br/>
        <w:t>Having regard to the other documents in the file;</w:t>
        <w:br/>
        <w:t>Adopts the following decision:</w:t>
      </w:r>
    </w:p>
    <w:p>
      <w:r>
        <w:t>I. THE COMPANIES CONCERNED AND THE OPERATION</w:t>
        <w:br/>
        <w:t>1. The Hexaom group (hereinafter, "Hexaom") is primarily active in the sector of</w:t>
        <w:br/>
        <w:t>individual house construction across the entire national territory. It is also</w:t>
        <w:br/>
        <w:t>active in the sectors of real estate development, renovation, and land development.</w:t>
        <w:br/>
        <w:t>2. The Trecobat group (hereinafter, "Trecobat") is active in the sector of individual house construction, mainly in the west of France. Trecobat is also active in the sectors of real estate development, renovation, and land development. It also manufactures and markets wooden frames dedicated to the construction of individual houses through two factories located in Brittany.</w:t>
        <w:br/>
        <w:t>3. The target assets include the participation of A.S.T. Groupe in POBI Industrie and its subsidiary POBI Structures, whose main activity concerns the manufacture of wooden frames intended for the construction of individual houses and garden studios. POBI Structures operates two manufacturing sites for wooden frame components and PVC and aluminum joinery in Bourgogne-Franche-Comté. The target assets also include assets of A.S.T. Groupe related to the activity of animating the "Natilia" network (distribution of individual houses with wooden frames) and the "Natibox" network (distribution of garden studios).</w:t>
        <w:br/>
        <w:t>4. By judgment of August 1, 2024, the Commercial Court of Lyon opened a judicial recovery procedure for the benefit of A.S.T. Groupe.</w:t>
        <w:br/>
        <w:t>5. On October 21, 2024, pursuant to the second paragraph of Article L. 430-4 of the Commercial Code, the Authority granted Hexaom and Trecobat a derogation from the suspensive effect of merger control so that they could proceed with the effective acquisition of the target assets, in the event that their takeover offer was accepted by the Commercial Court.</w:t>
        <w:br/>
        <w:t>6. The Commercial Court of Lyon, by a judgment of November 26, 2024, accepted the takeover offer for the target assets submitted on September 30, 2024. This consists of a takeover, by Hexaom and Trecobat, of the aforementioned target assets through the creation of a joint company, Hexabat Invest.</w:t>
        <w:br/>
        <w:t>7. It follows from the shareholders' agreement of Hexabat Invest dated October 30, 2024 [confidential]. Thus, Hexaom and Trecobat will jointly exercise a decisive influence over Hexabat Invest.</w:t>
        <w:br/>
        <w:t>8. POBI Industrie, which holds all the capital and voting rights of POBI Structures, will be a subsidiary of Hexabat Invest, while the acquired assets necessary for the animation of a distribution network for wooden frames will be housed within another subsidiary, Natireso. While Hexabat Invest may establish commercial relationships with its parent company Hexaom, it will primarily conduct sales to its franchise partners (via its subsidiary Natireso) and other interested third parties. Hexabat Invest will have sufficient resources to operate in the market independently and sustainably. The companies concerned together generate a total worldwide turnover of over 150 million euros (Hexaom: [≥ 150 million] euros for the fiscal year ending December 31, 2023, entirely generated in France, Trecobat: [≥ 150 million] euros for the fiscal year ending August 31, 2023, entirely generated in France, the target assets: [≤ 150 million] euros for the fiscal year ending December 31, 2023, entirely generated in France). At least two of these companies generate, in France, a turnover exceeding 50 million euros. Given these turnover figures, the operation does not have a European dimension. However, the control thresholds mentioned in I of Article L. 430-2 of the Commercial Code are exceeded. This operation is therefore subject to the provisions of Articles L. 430-3 and following of the Commercial Code, relating to economic concentration.</w:t>
        <w:br/>
        <w:t>II. Definition of the relevant markets</w:t>
        <w:br/>
        <w:t>9. Trecobat and the target are simultaneously active in the sector of the manufacture of wooden frames intended for the construction of individual wooden houses (A.).</w:t>
        <w:br/>
        <w:t>10. Hexaom and Trecobat are also active in the construction of individual houses (B.), through contracts for the construction of individual houses concluded with individual clients. Hexaom builds individual houses using various so-called traditional materials (bricks, concrete blocks, concrete, etc.), and provides services (project design, land search, financing assistance, work monitoring, etc.) through various brands such as Maisons France Confort, Maisons de Manon, or Maisons Balency. Trecobat is also involved in the construction of individual houses built with traditional materials under the Trecobat brand and individual houses with wooden frames, under the Trecobat Green and Trecobois brands.</w:t>
        <w:br/>
        <w:t>A. THE MARKET FOR THE MANUFACTURE OF WOODEN FRAMES INTENDED FOR</w:t>
        <w:br/>
        <w:t>THE CONSTRUCTION OF INDIVIDUAL HOUSES</w:t>
        <w:br/>
        <w:t>11. The construction of wooden frame houses is a construction technique based on the use of a main load-bearing structure made of wood, consisting of vertical wooden posts connected by bracing panels. On the wooden frame thus formed, a working panel made of wood is fixed, the cavities of which are filled with insulation. According to manufacturers, wooden frame offers may include other components, in addition to the walls, such as frameworks, joinery, and insulation.</w:t>
        <w:br/>
        <w:t>12. Houses constructed from wooden frames can be assembled directly on site (from parts made in the factory), or "off-site," in the factory, with the manufacturing of components.</w:t>
      </w:r>
    </w:p>
    <w:p>
      <w:r>
        <w:rPr>
          <w:b/>
        </w:rPr>
        <w:t>[Pages 4–6]</w:t>
      </w:r>
    </w:p>
    <w:p>
      <w:r>
        <w:t>of three-dimensional modules, which are then delivered ready to be connected on the construction site.</w:t>
      </w:r>
    </w:p>
    <w:p>
      <w:r>
        <w:t>13. Wooden framing is the most commonly used technique for the construction of wooden houses. Among the individual houses built with wooden construction materials, 85% are constructed using wooden frames. Other materials, such as stacked solid wood, laminated wood, nail-laminated wood, or the post-and-beam system, constitute alternatives to wooden frames used by builders of individual wooden houses.</w:t>
      </w:r>
    </w:p>
    <w:p>
      <w:r>
        <w:t>14. In this case, the target manufactures and markets to professionals, wooden frame offers (including walls, frameworks, insulation, and joinery) for the construction of individual wooden houses. Trecobat also manufactures and markets wooden frame sets (including walls, insulation, and joinery) of which 95% are intended for internal use within the group entities.</w:t>
      </w:r>
    </w:p>
    <w:p>
      <w:r>
        <w:t>i. PRODUCT MARKETS</w:t>
      </w:r>
    </w:p>
    <w:p>
      <w:r>
        <w:t>15. In its letter dated October 1, 2007, regarding a concentration in the sector of the manufacture and sale of industrial frameworks, the Minister of Economy, Finance and Industry (hereinafter "the Minister") considered, within the intermediate markets for the manufacture of construction materials, a market for wooden frames intended for the construction of individual houses.</w:t>
      </w:r>
    </w:p>
    <w:p>
      <w:r>
        <w:t>16. Several companies possess expertise in the manufacture of wooden frames. This includes, in particular, Socopa Constructions Bois, Charm’ossature, Bwood, Eiffage Savare, Charlitt, and Ima Bois.</w:t>
      </w:r>
    </w:p>
    <w:p>
      <w:r>
        <w:t>17. In accordance with the decision-making practice of the Authority regarding building construction, a segmentation of the wooden frame market based on the type of building (individual houses, collective housing, industrial and commercial housing) could be considered, as the characteristics of wooden frames may differ depending on the type of building constructed. Indeed, it emerges from the investigation that wooden frames intended for the construction of individual houses are generally designed for structures of one to two stories, while collective housing or industrial buildings require frames capable of supporting heavier loads and spanning greater distances, while adhering to strict safety standards. The notifying parties also indicate that these constructions may require specific reinforcements or the integration of hybrid structures combining wood with concrete or steel.</w:t>
      </w:r>
    </w:p>
    <w:p>
      <w:r>
        <w:t>18. In this case, the question of a possible segmentation of the market for the manufacture of wooden frames according to the type of building concerned can be left open, as the conclusions of the competitive analysis remain unchanged.</w:t>
      </w:r>
    </w:p>
    <w:p>
      <w:r>
        <w:t>19. In this case, Trecobat and the target are simultaneously active in the manufacture of wooden frames intended for the construction of individual houses.</w:t>
      </w:r>
    </w:p>
    <w:p>
      <w:r>
        <w:t>ii. GEOGRAPHICAL MARKETS</w:t>
      </w:r>
    </w:p>
    <w:p>
      <w:r>
        <w:t>20. The Minister considered a regional dimension for the market for the manufacture of wooden frames intended for the construction of houses, while leaving open the question of its exact delimitation.</w:t>
      </w:r>
    </w:p>
    <w:p>
      <w:r>
        <w:t>21. The notifying parties consider that the market is of national dimension insofar as the target, whose two sites for the manufacture of wooden frames are located in Bourgogne-Franche-Comté, markets its products throughout the national territory. Other players specialized in the production of wooden frames also have national coverage, such as Booa, owned by Burger &amp; Cie and Holding Soprema, and the Ami Bois group. No technical or commercial constraints would prevent marketing to builders located at a distance exceeding the scale of the region.</w:t>
      </w:r>
    </w:p>
    <w:p>
      <w:r>
        <w:t>22. While Trecobat supplies the wooden frames it produces in its two factories located in Brittany primarily to its agencies located in the same region, it also supplies its products to its agencies located in Pays de la Loire, Nouvelle-Aquitaine, and Occitanie.</w:t>
      </w:r>
    </w:p>
    <w:p>
      <w:r>
        <w:t>23. The exact delimitation of the geographical market for the manufacture of wooden frames intended for the construction of individual houses can, however, remain open, as the conclusions of the competitive analysis remain unchanged.</w:t>
      </w:r>
    </w:p>
    <w:p>
      <w:r>
        <w:t>24. In this case, the analysis will be conducted on the national market for the manufacture of wooden frames intended for the construction of individual houses and on the regional markets where the activities of the parties overlap.</w:t>
      </w:r>
    </w:p>
    <w:p>
      <w:r>
        <w:t>B. MARKETS FOR THE CONSTRUCTION OF INDIVIDUAL HOUSES</w:t>
      </w:r>
    </w:p>
    <w:p>
      <w:r>
        <w:t>i. SERVICE MARKETS</w:t>
      </w:r>
    </w:p>
    <w:p>
      <w:r>
        <w:t>25. National and European competition authorities have considered various segmentations in the real estate services sector according to (i) the recipients of the services (individuals or businesses), (ii) the pricing method (free residential real estate and social or intermediate housing), (iii) the type of activity carried out in the premises (offices, commercial premises, and other activity premises), and (iv) the nature of the services or goods offered.</w:t>
      </w:r>
    </w:p>
    <w:p>
      <w:r>
        <w:t>26. Regarding segmentation according to the nature of the services or goods offered, the Authority has considered, while leaving the question open, a distinction between:</w:t>
        <w:br/>
        <w:t>- real estate development, which includes construction and sale activities of real estate;</w:t>
        <w:br/>
        <w:t>- management of real estate assets for one's own account;</w:t>
        <w:br/>
        <w:t>- management of real estate assets for third parties;</w:t>
        <w:br/>
        <w:t>- administration of real estate, which covers the activities of managing properties on behalf of owners and can be segmented between rental management and co-ownership management;</w:t>
        <w:br/>
        <w:t>- real estate appraisal;</w:t>
        <w:br/>
        <w:t>- real estate consulting;</w:t>
        <w:br/>
        <w:t>- intermediation in real estate transactions, within which a distinction can be made between the sale and rental of properties.</w:t>
      </w:r>
    </w:p>
    <w:p>
      <w:r>
        <w:t>27. The Authority distinguishes residential real estate development from real estate development of premises for professional use intended for businesses. It has also considered that the construction of individual houses falls within the market of real estate development.</w:t>
      </w:r>
    </w:p>
    <w:p>
      <w:r>
        <w:t>28. The notifying parties consider that the market for the construction of individual houses should be distinguished from that of real estate development. They point out that builders of individual houses offer custom housing, designed according to the wishes of the clients on land owned by them, whereas in the context of real estate development, housing constructions are generally standardized, built on land owned by the developer, and then sold to the end client.</w:t>
      </w:r>
    </w:p>
    <w:p>
      <w:r>
        <w:t>29. The question of the existence of a market for the construction of individual houses, distinct from that of real estate development, can nevertheless remain open, as the conclusions of the competitive analysis remain unchanged.</w:t>
      </w:r>
    </w:p>
    <w:p>
      <w:r>
        <w:rPr>
          <w:b/>
        </w:rPr>
        <w:t>[Pages 7–9]</w:t>
      </w:r>
    </w:p>
    <w:p>
      <w:r>
        <w:t>30. In this case, the main activity of the parties concerns the construction of individual houses. The analysis will therefore focus on the market for the construction of individual houses.</w:t>
      </w:r>
    </w:p>
    <w:p>
      <w:r>
        <w:t>On the existence of a sub-segment of the market for the construction of wooden individual houses</w:t>
      </w:r>
    </w:p>
    <w:p>
      <w:r>
        <w:t>31. The notifying parties believe that there is no need to distinguish between individual houses made of wood and those made from other materials. They particularly emphasize the substitutability of the materials used by builders and the homogeneity of the regulatory framework applicable to building permit applications and the legal delivery guarantees.</w:t>
      </w:r>
    </w:p>
    <w:p>
      <w:r>
        <w:t>32. However, the elements collected during the investigation indicate that the use of wood for the construction of individual houses presents notable specificities in terms of cost, construction process, and environmental impact. Wooden individual houses (mainly wooden frame) can particularly benefit from prefabrication and "off-site" assembly processes, in factories, which help reduce nuisances related to climatic or acoustic conditions on site while significantly shortening the duration of construction projects. Wood is an ecological material, and notably renewable, low in energy consumption, and reusable. These are specificities sought by individuals who opt for constructions in this material.</w:t>
      </w:r>
    </w:p>
    <w:p>
      <w:r>
        <w:t>33. Some individual house builders tend to specialize based on the materials used for construction, and several have specialized in the construction of wooden individual houses, such as Ma Maison Bois, Booa, Ami Bois, or Aka Bois. These various elements support the identification of a market specific to the construction of wooden individual houses.</w:t>
      </w:r>
    </w:p>
    <w:p>
      <w:r>
        <w:t>34. The question of the exact delimitation of these markets can, however, be left open, insofar as, regardless of the segmentation retained, the conclusions of the competitive analysis remain unchanged.</w:t>
      </w:r>
    </w:p>
    <w:p>
      <w:r>
        <w:t>35. In this case, Trecobat is active in the construction of wooden individual houses. Following the operation, Hexaom will also become active in this market through a new offer for the construction of wooden individual houses. It will be able to source wooden frames manufactured by the target and market the wooden houses through its network of internal agencies and under its own brands. Hexabat Invest, jointly controlled by Hexaom and Trecobat, will also be able to develop the activity of constructing wooden individual houses through the Natireso franchise network.</w:t>
      </w:r>
    </w:p>
    <w:p>
      <w:r>
        <w:t>36. The analysis will thus be conducted on the market for the construction of individual houses, and more particularly on the market for the construction of wooden individual houses.</w:t>
      </w:r>
    </w:p>
    <w:p>
      <w:r>
        <w:t>ii. GEOGRAPHICAL MARKETS</w:t>
      </w:r>
    </w:p>
    <w:p>
      <w:r>
        <w:t>37. The notifying parties consider that the markets for the construction of individual houses are of regional or departmental dimension. The market players are predominantly small entities responding to essentially local demand. In 2020, 60% of the supply came from small individual house builders constructing fewer than 20 houses per year. Larger players develop a territorial network through agency or franchise networks present at the level of one or several regions or throughout the national territory.</w:t>
      </w:r>
    </w:p>
    <w:p>
      <w:r>
        <w:t>38. It emerges from the investigation that individual clients seek geographic proximity between the sites of their houses and the builders' agencies, with the parties emphasizing that their agencies generally have clients located in the same department, or even region.</w:t>
      </w:r>
    </w:p>
    <w:p>
      <w:r>
        <w:t>39. The local anchoring of the agencies allows builders to adapt to local specificities, including architecture, climatic conditions, or the provisions of the local urban planning plan, and to ensure their visibility and attractiveness to potential clients, the builder's reputation being closely linked to the client's proximity, due to the fragmentation of the supply.</w:t>
      </w:r>
    </w:p>
    <w:p>
      <w:r>
        <w:t>40. Furthermore, according to the notifying parties, it is necessary for the individual house builder to have a local presence to ensure project follow-up, relying on local subcontractors.</w:t>
      </w:r>
    </w:p>
    <w:p>
      <w:r>
        <w:t>41. The establishment of Trecobat's agency network, with a territorial coverage spanning Brittany, Nouvelle Aquitaine, Occitanie, and Pays de la Loire, demonstrates the importance of this local presence. Hexaom, for its part, has a network of agencies distributed throughout the national territory.</w:t>
      </w:r>
    </w:p>
    <w:p>
      <w:r>
        <w:t>42. In this case, the competitive analysis will therefore be conducted at the national level and at the regional and departmental levels.</w:t>
      </w:r>
    </w:p>
    <w:p>
      <w:r>
        <w:t>III. Competitive Analysis</w:t>
      </w:r>
    </w:p>
    <w:p>
      <w:r>
        <w:t>43. The operation, due to the activities of the parent companies, Trecobat and Hexaom, and the assets that are the subject of an acquisition, through the creation of the joint company Hexabat Invest, is likely to produce various effects.</w:t>
      </w:r>
    </w:p>
    <w:p>
      <w:r>
        <w:t>44. Given the activities of Trecobat and the target in the market for the manufacture of wooden frames intended for the construction of individual houses, the operation is likely to produce horizontal effects in said market.</w:t>
      </w:r>
    </w:p>
    <w:p>
      <w:r>
        <w:t>45. Moreover, the operation is likely to present vertical effects between the markets for the manufacture of wooden frames and that of the construction of individual houses, on which both parent companies are active.</w:t>
      </w:r>
    </w:p>
    <w:p>
      <w:r>
        <w:t>46. Finally, the operation is likely to lead to a coordination of the competitive behaviors of the parent companies in the markets for the construction of individual houses.</w:t>
      </w:r>
    </w:p>
    <w:p>
      <w:r>
        <w:t>A. ANALYSIS OF HORIZONTAL EFFECTS</w:t>
      </w:r>
    </w:p>
    <w:p>
      <w:r>
        <w:t>47. The target and Trecobat both engage in the manufacture of wooden frames intended for the construction of individual houses. The target operates two production sites located in Bourgogne-Franche-Comté. Trecobat manufactures its products in two factories located in Brittany. To date, 95% of Trecobat's productions are intended for the individual house construction agencies of its own group.</w:t>
      </w:r>
    </w:p>
    <w:p>
      <w:r>
        <w:t>48. The proposed operation leads, concerning Trecobat's residual sales to third parties, to an overlap of activity in the national market for the manufacture of wooden frames intended for the construction of individual houses, as well as in the markets of Brittany, Pays de la Loire, Nouvelle-Aquitaine, and Occitanie.</w:t>
      </w:r>
    </w:p>
    <w:p>
      <w:r>
        <w:t>49. The combined market shares of the parties at the national level remain, however, below [10-20]%. At the regional level, the combined market shares do not exceed 25%. Given these limited market shares, any risk of harm to competition through horizontal effects can be ruled out.</w:t>
      </w:r>
    </w:p>
    <w:p>
      <w:r>
        <w:t>B. ANALYSIS OF VERTICAL EFFECTS</w:t>
      </w:r>
    </w:p>
    <w:p>
      <w:r>
        <w:t>50. A concentration operation is likely to restrict competition through vertical effects by making it more difficult for third parties to access the markets on which the new entity is active or by excluding competitors through an increase in their costs.</w:t>
      </w:r>
    </w:p>
    <w:p>
      <w:r>
        <w:t>51. The decision-making practice considers that a risk of vertical effect can, in principle, be ruled out as long as the market share of the entity resulting from the operation in the relevant markets is below 30%.</w:t>
      </w:r>
    </w:p>
    <w:p>
      <w:r>
        <w:t>52. In this case, vertical links may exist, given the new upstream activities of the parties in the manufacture of wooden frames, through the company Hexabat Invest, and in the construction of wooden individual houses.</w:t>
      </w:r>
    </w:p>
    <w:p>
      <w:r>
        <w:t>53. Following the operation, the parties, in their capacity as manufacturers and suppliers of wooden frames, could be incentivized to implement a strategy of locking in inputs, which would consist of refusing to sell or selling under degraded conditions wooden frames.</w:t>
      </w:r>
    </w:p>
    <w:p>
      <w:r>
        <w:rPr>
          <w:b/>
        </w:rPr>
        <w:t>[Pages 10–12]</w:t>
      </w:r>
    </w:p>
    <w:p>
      <w:r>
        <w:t>to their competitors operating in the downstream market for the construction of individual wooden houses.</w:t>
      </w:r>
    </w:p>
    <w:p>
      <w:r>
        <w:t>54. However, given the low cumulative market share of the parties (less than [10-20]% at the national level) in the market for the manufacture of wooden frames, such a strategy would be implausible and devoid of any significant effect on competition. The parties face competition from several suppliers of wooden frames covering the entire national territory and capable of meeting the demand from competing individual wooden house builders.</w:t>
      </w:r>
    </w:p>
    <w:p>
      <w:r>
        <w:t>55. In this regard, it emerges from the investigation of the operation that a new network of individual house builders, named "Maisons Naturéa," which brings together several former franchisees of the "Natilia" network and was led by the target before its acquisition by Hexaom and Trécobat, has established partnerships with eight independent wooden frame production factories, competitors of those of Trecobat and POBI Structures.</w:t>
      </w:r>
    </w:p>
    <w:p>
      <w:r>
        <w:t>56. Thus, any risk of input lock-in can be excluded.</w:t>
      </w:r>
    </w:p>
    <w:p>
      <w:r>
        <w:t>57. Following the operation, it could be considered that the parties implement, as builders of wooden frame houses, a strategy of locking access to customers by refusing to purchase or by purchasing wooden frames from Hexabat Invest's competitors in degraded conditions in the market for the supply of wooden frames.</w:t>
      </w:r>
    </w:p>
    <w:p>
      <w:r>
        <w:t>58. This risk can also be dismissed insofar as the cumulative market share of the parties in the various markets for the construction of individual wooden houses does not exceed 30%. These markets are characterized by the presence of numerous competing operators, including companies such as Booa, Ma Maison Bois, Ami Bois, and Aka Bois, which represent potential outlets for suppliers of wooden frames.</w:t>
      </w:r>
    </w:p>
    <w:p>
      <w:r>
        <w:t>59. Thus, any risk of locking access to customers is excluded.</w:t>
      </w:r>
    </w:p>
    <w:p>
      <w:r>
        <w:t>C. RISK OF COORDINATION BETWEEN PARENT COMPANIES</w:t>
      </w:r>
    </w:p>
    <w:p>
      <w:r>
        <w:t>60. In accordance with the decision-making practice of the Authority, the creation of a joint venture is likely to lead to a risk of coordination between the parent companies when three cumulative conditions are met. This risk must: (i) have a direct causal link to the creation of the joint venture, (ii) be sufficiently plausible, and (iii) have a significant effect on competition.</w:t>
      </w:r>
    </w:p>
    <w:p>
      <w:r>
        <w:t>61. The Authority considers that such coordination can be more evidently contemplated if the parent companies and the joint subsidiary remain present in the same markets, but it cannot be excluded, a priori, when the parent companies are active in a market distinct from that of their joint subsidiary, which has connections to it.</w:t>
      </w:r>
    </w:p>
    <w:p>
      <w:r>
        <w:t>62. In this case, the market for the manufacture of wooden frames intended for the construction of individual houses, in which the joint venture operates, is upstream of the markets for the construction of individual houses, in which both parent companies are active. It is therefore necessary to examine whether the operation is likely to create a risk of coordination between the parent companies in the markets for the construction of individual houses. Such a risk could particularly be facilitated by exchanges of information between the parent companies, of which the joint venture could be the vector.</w:t>
      </w:r>
    </w:p>
    <w:p>
      <w:r>
        <w:t>63. According to the Authority's guidelines, a causal link can be established if the activity of the joint venture is essential for the markets in which the parent companies are active. In this case, the activity of the joint venture cannot be qualified as essential for the parent companies. Indeed, to date, Hexaom does not build individual wooden houses, and following the operation, according to the parties' forecasts, sales of wooden frames are expected to reach [confidential] wooden frame units in 2027 for Hexaom (compared to [confidential] wooden frame units in 2027 for the entire Natireso network of the joint venture). By comparison, for the year 2023, Hexaom has commenced construction of 4,867 individual houses across the territory, including 900 in the regions concerned by the operation. Furthermore, Trecobat is already constructing individual houses using wooden frames manufactured in its own factories and does not intend to modify its supply structure by utilizing the production capacities of the target. Trecobat's own production is sufficient, according to it, to meet its own needs for the construction of individual wooden houses.</w:t>
      </w:r>
    </w:p>
    <w:p>
      <w:r>
        <w:t>64. Regarding the conditions of plausibility and significant effect of coordination, both parent companies hold market shares of around [5-10]% in the market for the construction of individual houses at the national level. At the sub-national level, the cumulative market shares of the parties are below [10-20]% in the regional and departmental markets for the construction of individual houses.</w:t>
      </w:r>
    </w:p>
    <w:p>
      <w:r>
        <w:t>65. Only Trecobat constructs individual wooden houses prior to the operation. Its market share does not exceed 25% in the various relevant markets, except in the Finistère department where this market share is estimated at [20-30]% in volume (and [10-20]% in value). Hexaom, for its part, plans to develop this activity through its wholly-owned agencies, following the operation, by sourcing wooden frames from the joint venture Hexabat Invest. However, its sales forecasts for the next two years remain limited.</w:t>
      </w:r>
    </w:p>
    <w:p>
      <w:r>
        <w:t>66. Thus, given the limited weight of the parties in the markets for the construction of individual wooden houses, coordination of behaviors through the joint venture is unlikely and would not have a significant effect on competition.</w:t>
      </w:r>
    </w:p>
    <w:p>
      <w:r>
        <w:t>DECIDES</w:t>
      </w:r>
    </w:p>
    <w:p>
      <w:r>
        <w:t>Sole Article: The operation notified under number 24-255 is authorized.</w:t>
      </w:r>
    </w:p>
    <w:p>
      <w:r>
        <w:t>The President,</w:t>
        <w:br/>
        <w:t>Benoît Cœuré</w:t>
        <w:br/>
        <w:t>© Authority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