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https://www.autoritedelaconcurrence.fr/fr/decision-de-controle-des-concentrations/relative-la-prise-de-controle-de-la-societe-prima-sa-par-la</w:t>
      </w:r>
    </w:p>
    <w:p>
      <w:r>
        <w:t>Pages translated : 5</w:t>
      </w:r>
    </w:p>
    <w:p/>
    <w:p>
      <w:r>
        <w:rPr>
          <w:b/>
        </w:rPr>
        <w:t>[Pages 1–3]</w:t>
      </w:r>
    </w:p>
    <w:p>
      <w:r>
        <w:t>FRENCH REPUBLIC</w:t>
        <w:br/>
        <w:t>Decision No. 10-DCC-101 of September 2, 2010</w:t>
        <w:br/>
        <w:t>regarding the acquisition of control of the company Prima SA</w:t>
        <w:br/>
        <w:t>by the company Xana</w:t>
        <w:br/>
        <w:t>The Competition Authority,</w:t>
        <w:br/>
        <w:t>Having regard to the notification file sent to the merger service on July 30, 2010, and declared complete on July 30, 2010, regarding the acquisition of control of the company Prima SA by the company Xana;</w:t>
        <w:br/>
        <w:t>Having regard to Book IV of the Commercial Code relating to price freedom and competition, and in particular its Articles L. 430-1 to L. 430-7;</w:t>
        <w:br/>
        <w:t>Adopts the following decision:</w:t>
        <w:br/>
        <w:t>I. The companies concerned and the operation</w:t>
        <w:br/>
        <w:t>1. The company ITM Entreprises, 100% controlled by the Société civile des Mousquetaires, itself held by 1,330 individuals known as "associated members," leads and animates the network of independent merchants known as the "Groupement des Mousquetaires." In its capacity as franchisor,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 The company ITM Entreprises achieved a global turnover excluding taxes of [20-30] billion euros for the fiscal year ending December 31, 2009, of which [15-25] million euros in France.</w:t>
        <w:br/>
        <w:t>2. The company Xana is a public limited company under French law whose exclusive purpose is to hold shares in any company operating a retail outlet under a brand of the Groupement des Mousquetaires. Currently, the company Xana is the majority shareholder of the company Stepharo, which operates a retail outlet under the "Intermarché" brand in Narbonne, and of the company Napauni SAS, which does not currently engage in any activity. The capital of the company Xana is currently held at more than 50% by Mr. and Mrs. X, with ITM Entreprises holding a preferred share granting it a veto right over all extraordinary collective decisions, including the change of brand and the disposal of the business or an essential element for its operation. Consequently, ITM Entreprises and Mr. and Mrs. X exercise joint control over the company Xana, which achieved a turnover of more than 15 million euros in 2009.</w:t>
        <w:br/>
        <w:t>3. The company Prima SA is a public limited company under French law that operates a retail business with a sales area of 1,062 m² under the "Intermarché" brand located in the town of La Redorte (11). The capital of the company Prima SA is held at more than 50% by Mr. and Mrs. Y, with ITM holding a share that does not confer any special rights. The company Prima SA is linked to ITM Entreprises by a brand contract signed on March 10, 2004. It achieved a total turnover excluding taxes of 7.7 million euros during the last fiscal year ending December 31, 2009.</w:t>
        <w:br/>
        <w:t>4. The company Xana has committed to acquire 99% of the shares of Prima SA by contract concluded on May 7, 2010. Following the operation, the share held by ITM Entreprises will be converted into a preferred share, and the company PRIMA SA will sign a brand contract for a duration of fifteen years with ITM Entreprises.</w:t>
        <w:br/>
        <w:t>5. The notified operation is therefore analyzed as a joint acquisition of control of the company Prima SA by the company Xana and ITM Entreprises. Given the turnover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6. According to the consistent practice of national and community competition authorities, two categories of markets can be delineated in the food retail sector. These are, on the one hand, "downstream" markets of local dimension, which bring together retail companies and consumers for the sale of consumer goods, and, on the other hand, "upstream" markets for supplying retail companies with everyday consumer goods, of national dimension.</w:t>
        <w:br/>
        <w:t>1 See in particular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Carrefour/Coran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r>
    </w:p>
    <w:p>
      <w:r>
        <w:t>A. DOWNSTREAM DISTRIBUTION MARKETS</w:t>
        <w:br/>
        <w:t>1. SERVICE MARKETS</w:t>
        <w:br/>
        <w:t>7.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w:t>
        <w:br/>
        <w:t>8. Supermarkets are usually defined as predominantly food stores with a sales area of less than 2,500 m² and more than 400 m². However, it should be noted that these thresholds should be used with caution and may be adapted to the specific case, considering that stores whose area is close to a threshold, whether below or above, may be in direct competition with the facts.</w:t>
        <w:br/>
        <w:t>9. In this case, the acquired store currently occupies a sales area of 1,062 m². It therefore falls into the category of supermarkets.</w:t>
        <w:br/>
        <w:t>2. GEOGRAPHICAL DELIMITATION</w:t>
        <w:br/>
        <w:t>10. In its recent decisions regarding operations involving hypermarkets or supermarkets, the Competition Authority has recalled that two types of markets are usually distinguished based on catchment areas:</w:t>
        <w:br/>
        <w:t>- a first market where the demand from consumers in an area meets the supply of hypermarkets that they can access within less than 30 minutes of travel by car and which are, from their point of view, substitutable with each other;</w:t>
        <w:br/>
        <w:t>- a second market where the demand from consumers meets the supply of supermarkets and equivalent forms of commerce located within 15 minutes of travel time by car. These latter forms of commerce may include, in addition to supermarkets, hypermarkets located near consumers and discount stores.</w:t>
        <w:br/>
        <w:t>11. Other criteria may nevertheless be taken into account to assess the impact of a concentration on the competitive situation in retail distribution markets, which may lead to refining, in the specific case, the usual delimitations presented above.</w:t>
        <w:br/>
        <w:t>12. In this case, the store concerned by the operation is a supermarket since its area is 1,062 m². The competitive analysis will therefore focus on the market including all hypermarkets, supermarkets, and discount stores located within a 15-minute drive catchment area around La Redorte (11700).</w:t>
      </w:r>
    </w:p>
    <w:p>
      <w:r>
        <w:rPr>
          <w:b/>
        </w:rPr>
        <w:t>[Pages 4–5]</w:t>
      </w:r>
    </w:p>
    <w:p>
      <w:r>
        <w:t xml:space="preserve">B. UPSTREAM SUPPLY MARKET  </w:t>
        <w:br/>
        <w:t xml:space="preserve">13. Regarding the supply markets, the European Commission5 has identified the existence of markets of national dimension by major product groups, a delineation followed by national authorities6.  </w:t>
        <w:br/>
        <w:t xml:space="preserve">14. There is no reason to challenge this delineation on the occasion of the present operation.  </w:t>
        <w:br/>
        <w:t xml:space="preserve">III. Competitive Analysis  </w:t>
        <w:br/>
        <w:t xml:space="preserve">A. DOWNSTREAM DISTRIBUTION MARKET  </w:t>
        <w:br/>
        <w:t xml:space="preserve">15. In the market comprising supermarkets and other equivalent forms of commerce, located within a 15-minute drive catchment area around La Redorte, the Intermarché operated represents 11% of the market share expressed in sales area (i.e., 1,062 m² out of a total area of 10,095 m²). Also present in the La Redorte area is a supermarket "Intermarché" located in Lézignan-Corbières holding 24% of the market share. Supermarkets operated under the ITM Entreprises brand therefore represent, in the 15-minute catchment area around La Redorte, a cumulative market share of 35%.  </w:t>
        <w:br/>
        <w:t xml:space="preserve">16. These stores face competition from a hypermarket under the Carrefour brand representing 25% of the sales area in the zone and from several supermarkets or discount stores (G20, Spar, Aldi, and Dia).  </w:t>
        <w:br/>
        <w:t xml:space="preserve">17. Consequently, the operation is not likely to harm competition in the markets concerned.  </w:t>
        <w:br/>
        <w:t xml:space="preserve">B. UPSTREAM SUPPLY MARKET  </w:t>
        <w:br/>
        <w:t xml:space="preserve">18. Regarding the upstream supply markets, the operation, which concerns only one store, is not likely to significantly strengthen the purchasing power of the ITM Entreprises group, across all products as well as by major product groups.  </w:t>
        <w:br/>
        <w:t xml:space="preserve">19. Consequently, the operation is not likely to harm competition both in the downstream market and in the upstream market of food distribution.  </w:t>
        <w:br/>
        <w:t xml:space="preserve">5 See the Commission decisions M.1684 Carrefour/Promodès of January 25, 2000, and M.2115 Carrefour/GB of September 28, 2000.  </w:t>
        <w:br/>
        <w:t>6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 xml:space="preserve">DECIDES  </w:t>
        <w:br/>
        <w:t xml:space="preserve">Sole Article: The operation notified under number 10-0117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