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https://www.autoritedelaconcurrence.fr/fr/decision-de-controle-des-concentrations/relative-la-prise-de-controle-de-la-societe-reservoir-team</w:t>
      </w:r>
    </w:p>
    <w:p>
      <w:r>
        <w:t>Pages translated : 5</w:t>
      </w:r>
    </w:p>
    <w:p/>
    <w:p>
      <w:r>
        <w:rPr>
          <w:b/>
        </w:rPr>
        <w:t>[Pages 1–3]</w:t>
      </w:r>
    </w:p>
    <w:p>
      <w:r>
        <w:t xml:space="preserve">FRENCH REPUBLIC  </w:t>
        <w:br/>
        <w:t xml:space="preserve">Decision No. 13-DCC-75 of July 10, 2013  </w:t>
        <w:br/>
        <w:t xml:space="preserve">regarding the acquisition of control of Réservoir Team SAS  </w:t>
        <w:br/>
        <w:t>by Towerbrook Capital Partners LP</w:t>
      </w:r>
    </w:p>
    <w:p>
      <w:r>
        <w:t xml:space="preserve">The Competition Authority,  </w:t>
        <w:br/>
        <w:t xml:space="preserve">Having regard to the notification file submitted in full to the merger control service on June 7, 2013, regarding the acquisition of control of Réservoir Team SAS by Towerbrook Capital Partners LP, formalized by a share purchase agreement and a shareholders' agreement signed on May 20, 2013;  </w:t>
        <w:br/>
        <w:t xml:space="preserve">Having regard to Book IV of the Commercial Code relating to the freedom of prices and competition, and in particular Articles L. 430-1 to L. 430-7;  </w:t>
        <w:br/>
        <w:t xml:space="preserve">Having regard to the additional elements submitted by the parties during the investigation;  </w:t>
        <w:br/>
        <w:t>Adopts the following decision:</w:t>
      </w:r>
    </w:p>
    <w:p>
      <w:r>
        <w:t xml:space="preserve">I. The companies involved and the transaction  </w:t>
        <w:br/>
        <w:t xml:space="preserve">1. Towerbrook Capital Partners LP (hereinafter "TCP"), a company governed by American law, is the management company of the three investment funds of the Towerbrook group, Towerbrook Investors LP, Towerbrook Investors II LP, and Towerbrook Fund III. TCP is jointly controlled by Messrs. [X] and [Y] who each hold […] % of the capital and […] % of the voting rights of TCP, as well as [confidential]. Towerbrook controls companies present in various sectors of activity, such as the distribution of clothing and footwear (through the Phase Eight and True Religion groups1), beverage sales, construction materials, credit, insurance, financial services, telecommunications, and engineering.  </w:t>
        <w:br/>
        <w:t xml:space="preserve">2. Réservoir Team SAS is the parent company of the Kaporal group, which is active in the retail sector of clothing and footwear in France, Belgium, and Luxembourg. Réservoir Team SAS is controlled by Mr. [Z].  </w:t>
        <w:br/>
        <w:t>1 The Towerbrook group is engaged in the process of acquiring control of True Religion at the time of the notification of this transaction.</w:t>
      </w:r>
    </w:p>
    <w:p>
      <w:r>
        <w:t xml:space="preserve">3. According to the terms of the share purchase agreement and the shareholders' agreement of May 20, 2013, the transaction involves the acquisition of 100% of the capital and voting rights of Réservoir Team SAS by Kaporal 5 SARL, an investment vehicle of which the Towerbrook group will hold 73% of the capital and voting rights upon completion of the transaction. As it results in the exclusive control of the Kaporal group by the Towerbrook group, the transaction constitutes a concentration within the meaning of Article L. 430-1 of the Commercial Code.  </w:t>
        <w:br/>
        <w:t>4. The companies involved together achieve a total worldwide turnover of more than 150 million euros (Towerbrook group: […] euros for the fiscal year ending December 31, 2011; Kaporal group: […] euros for the fiscal year ending December 31, 2012). At least two of these companies generate in France a turnover exceeding 50 million euros (Towerbrook group: […] euros for the fiscal year ending December 31, 2011; Kaporal group: […] euros for the fiscal year ending December 31, 2012).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 xml:space="preserve">5. The parties to the transaction are simultaneously active in the clothing and footwear sales sector.  </w:t>
        <w:br/>
        <w:t xml:space="preserve">A. PRODUCT AND SERVICE MARKETS  </w:t>
        <w:br/>
        <w:t xml:space="preserve">6. In the clothing and footwear sales sector, decision-making practice2 distinguishes between upstream supply markets and downstream retail markets. In this case, the parties to the transaction are simultaneously present in the upstream supply markets for clothing and footwear as buyers, and in the downstream retail markets for clothing and footwear as sellers.  </w:t>
        <w:br/>
        <w:t xml:space="preserve">7. Regarding the retail sale of clothing and footwear, decision-making practice3 has identified market segmentations based on (i) gender4 (men, women, children), (ii) the product range5 (low, medium, high-end), and (iii) the distribution channel6 (specialized store, large specialized store, large food store).  </w:t>
        <w:br/>
        <w:t xml:space="preserve">8. Furthermore, decision-making practice7 has considered a distinction between in-store sales and distance sales, all distance sales channels combined, of clothing and footwear. Regarding distance sales of shoes, decision-making practice8 has considered segmentations between indoor shoes and outdoor shoes, and within the category of outdoor shoes, has considered defining a market for sports shoes and a market for specialized shoes.  </w:t>
        <w:br/>
        <w:t xml:space="preserve">9. In the present case, the question of the exact definition of the markets can be left open insofar as, regardless of the segmentation adopted, the conclusions of the competitive analysis remain unchanged.  </w:t>
        <w:br/>
        <w:t xml:space="preserve">B. GEOGRAPHICAL MARKETS  </w:t>
        <w:br/>
        <w:t xml:space="preserve">10. According to decision-making practice9, the markets for the supply of clothing and the supply of footwear are global in scope.  </w:t>
        <w:br/>
        <w:t xml:space="preserve">11. Regarding the retail distribution of clothing and footwear, competition occurs between points of sale located in catchment areas. Two criteria have been used10 to delineate these areas:  </w:t>
        <w:br/>
        <w:t xml:space="preserve">- on the one hand, from the consumers' perspective, there are as many markets as there are cities where retailers likely to sell these items are located, each of these markets corresponding to the commercial attraction zone where clothing or footwear can generally be purchased; and  </w:t>
        <w:br/>
        <w:t xml:space="preserve">- on the other hand, the relevant geographical market would correspond, for large food stores and large specialized stores, to a catchment radius of 20 minutes of driving time. This catchment area is also retained for stores located in shopping centers adjacent to large specialized stores or large food stores.  </w:t>
        <w:br/>
        <w:t xml:space="preserve">12. Furthermore, national decision-making practice11 has mentioned the growing weight of specialized distribution chains, consisting of networks of points of sale under a common brand, operated in-house, through franchises, or in purchasing groups and present throughout the national territory, even in many countries. It has thus raised the question of the relevance of an analysis of at least national markets.  </w:t>
        <w:br/>
        <w:t xml:space="preserve">13. In this case, however, this question can be left open, as the conclusions of the competitive analysis remain unchanged regardless of the delineation adopted.  </w:t>
        <w:br/>
        <w:t xml:space="preserve">5 See the letter from the Minister of Economy, Finance and Industry dated July 24, 2003, to the advisors of Vetir SA regarding a concentration in the clothing distribution sector.  </w:t>
        <w:br/>
        <w:t xml:space="preserve">6 See the aforementioned letter from the Minister of Economy, Finance and Industry dated July 24, 2003, the decision of the Competition Authority No. 10-DCC-159 of November 12, 2010, regarding the acquisition of control of Comptoir Français de la Mode by Du Pareil au Même, and the decisions of the Competition Authority No. 10-DCC-86 and No. 10-DCC-139 mentioned above.  </w:t>
        <w:br/>
        <w:t xml:space="preserve">7 See the decision of the Competition Authority No. 10-DCC-77 of July 9, 2010, regarding the exclusive control of Afibel SAS by Damartex SA.  </w:t>
        <w:br/>
        <w:t xml:space="preserve">8 See the aforementioned decision of the Competition Authority No. 10-DCC-77.  </w:t>
        <w:br/>
        <w:t xml:space="preserve">9 See in particular the decision of the Competition Authority No. 11-DCC-49 of March 24, 2011, regarding the acquisition of the assets of the La City group by the Beaumanoir group.  </w:t>
        <w:br/>
        <w:t xml:space="preserve">10 See the aforementioned letter from the Minister of Economy, Finance and Industry C2007-28 and the decisions of the Competition Authority No. 10-DCC-139 and No. 10-DCC-159 mentioned above.  </w:t>
        <w:br/>
        <w:t>11 See in particular the decisions of the Competition Authority No. 10-DCC-139 and No. 10-DCC-159 mentioned above.</w:t>
      </w:r>
    </w:p>
    <w:p>
      <w:r>
        <w:rPr>
          <w:b/>
        </w:rPr>
        <w:t>[Pages 4–5]</w:t>
      </w:r>
    </w:p>
    <w:p>
      <w:r>
        <w:t>III. Competitive Analysis</w:t>
      </w:r>
    </w:p>
    <w:p>
      <w:r>
        <w:t>14. The activities of the parties overlap in the markets for the supply of clothing and footwear, upstream, and in the retail distribution markets for clothing, where it is appropriate to conduct an analysis of the horizontal effects of the transaction. However, neither Phase Eight, controlled by Towerbrook, nor True Religion, being acquired by Towerbrook, market footwear in France. Therefore, the downstream markets for the sale of footwear are not affected by the notified transaction.</w:t>
      </w:r>
    </w:p>
    <w:p>
      <w:r>
        <w:t>A. UPSTREAM MARKETS FOR THE SUPPLY OF CLOTHING AND FOOTWEAR</w:t>
      </w:r>
    </w:p>
    <w:p>
      <w:r>
        <w:t>15. The parties are simultaneously present in the market for the supply of clothing and in the market for the supply of footwear, which are global in scope. In these markets, the combined market share of the parties is less than [0-5]%.</w:t>
      </w:r>
    </w:p>
    <w:p>
      <w:r>
        <w:t>16. The transaction is therefore not likely to raise competition concerns in the upstream markets for the supply of clothing and footwear.</w:t>
      </w:r>
    </w:p>
    <w:p>
      <w:r>
        <w:t>B. DOWNSTREAM RETAIL MARKETS FOR CLOTHING</w:t>
      </w:r>
    </w:p>
    <w:p>
      <w:r>
        <w:t>17. At the national level, True Religion, Phase Eight, and Kaporal represent less than [0-5]% of the overall retail clothing market in France. When considering segmentations of this market based on (i) customer type, (ii) product range level, and (iii) distribution channels, the combined market share of the parties is less than [5-10]%, and the increment induced by the transaction is less than [0-5]%, regardless of the segmentation adopted.</w:t>
      </w:r>
    </w:p>
    <w:p>
      <w:r>
        <w:t>18. At the local level, True Religion and Kaporal are only simultaneously present in Paris, with True Religion products being distributed solely by the Le Printemps store in Paris. The combined market share of the parties does not exceed [0-5]% in the retail clothing markets in Paris, regardless of the segmentation adopted (by gender, product range level, distribution channels).</w:t>
      </w:r>
    </w:p>
    <w:p>
      <w:r>
        <w:t>19. The transaction is therefore not likely to harm competition in the retail clothing markets.</w:t>
      </w:r>
    </w:p>
    <w:p>
      <w:r>
        <w:t>DECIDES</w:t>
      </w:r>
    </w:p>
    <w:p>
      <w:r>
        <w:t>Sole Article: The transaction notified under number 13-075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