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https://www.autoritedelaconcurrence.fr/fr/decision-de-controle-des-concentrations/relative-la-prise-de-controle-de-la-societe-sofaxis-par-la</w:t>
      </w:r>
    </w:p>
    <w:p>
      <w:r>
        <w:t>Pages translated : 7</w:t>
      </w:r>
    </w:p>
    <w:p/>
    <w:p>
      <w:r>
        <w:rPr>
          <w:b/>
        </w:rPr>
        <w:t>[Pages 1–3]</w:t>
      </w:r>
    </w:p>
    <w:p>
      <w:r>
        <w:t xml:space="preserve">FRENCH REPUBLIC  </w:t>
        <w:br/>
        <w:t xml:space="preserve">Decision No. 13-DCC-126 of September 5, 2013  </w:t>
        <w:br/>
        <w:t>regarding the acquisition of control of Sofaxis by the mutual insurance company Sham</w:t>
      </w:r>
    </w:p>
    <w:p>
      <w:r>
        <w:t xml:space="preserve">The Competition Authority,  </w:t>
        <w:br/>
        <w:t xml:space="preserve">Having regard to the notification file submitted in full to the merger service on July 31, 2013, regarding the acquisition of control of Sofaxis by the mutual insurance company Sham, formalized by a share acquisition agreement dated June 28, 2013, and by a shareholders' agreement signed on May 21, 2013;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w:t>
        <w:br/>
        <w:t xml:space="preserve">1. Sham (Société Hospitalière d’Assurance Mutuelle) is a mutual insurance company governed by the Insurance Code, whose capital is held by more than 8,300 members, and which remains subject to their fluctuating control. It heads the Sham group, which is primarily active in the insurance sector, covering the risks of actors in the health, social, and medico-social sectors, and is also present in the reinsurance and management consulting sectors.  </w:t>
        <w:br/>
        <w:t xml:space="preserve">2. Sofaxis SA, the parent company of the Sofaxis group, is controlled by Dexia SA, the parent company of the Dexia group, through Dexia Crédit Local. The Sofaxis group is primarily present in the brokerage sector for personal insurance products and also in the management consulting sector.  </w:t>
        <w:br/>
        <w:t xml:space="preserve">3. Under the share acquisition agreement signed on June 28, 2013, Sham will acquire 84.99% of the capital and voting rights of Sofaxis, with the Mutuelle Générale de l’Education Nationale ("MGEN") and the Mutuelle Nationale Territoriale ("MNT") acquiring the remaining 15%. At the conclusion of the operation, in accordance with the shareholders' agreement signed by Sham, MGEN, and MNT [confidential], Sham will appoint [...] members of the board of directors of Sofaxis, which will make the company's strategic decisions (notably relating to the company's insurance strategy, its budget, and significant investments) by a simple majority of the directors present or represented. Sham will therefore solely control Sofaxis at the conclusion of the operation, without MGEN or MNT being able to decisively influence Sofaxis's strategy. As it results in Sham taking control of Sofaxis, the notified operation constitutes a concentration within the meaning of Article L. 430-1 of the Commercial Code.  </w:t>
        <w:br/>
        <w:t>4. The concerned companies together achieve a total turnover excluding taxes on a global scale of more than 150 million euros (Sham group: 301.2 million euros for the fiscal year ending December 31, 2012, and Sofaxis group: [...] euros for the same fiscal year). Each of these companies has achieved a turnover in France exceeding 50 million euros, the aforementioned turnover being entirely generated in France. Given these turnover figures,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are simultaneously active in the insurance and management consulting sectors.  </w:t>
        <w:br/>
        <w:t xml:space="preserve">A. INSURANCE MARKETS  </w:t>
        <w:br/>
        <w:t xml:space="preserve">6. The Sham group is present in the upstream markets for the "production" of personal and property insurance products, while the Sofaxis group is present in the downstream markets for the distribution of insurance products on behalf of third parties. These markets will therefore be analyzed in terms of vertical effects.  </w:t>
        <w:br/>
        <w:t xml:space="preserve">1. "UPSTREAM" INSURANCE PRODUCT MARKETS  </w:t>
        <w:br/>
        <w:t xml:space="preserve">7. Regarding the insurance sector, national and European competition authorities distinguish between the markets for personal insurance, property insurance, and reinsurance. Concerning the first two categories of products, competition authorities have determined that they can be segmented into as many markets as there are insurances covering different types of risks, insofar as, from the demand perspective, insurances covering these different risks are not substitutable.  </w:t>
        <w:br/>
        <w:t xml:space="preserve">a) Markets for personal insurance products  </w:t>
        <w:br/>
        <w:t xml:space="preserve">8. Concerning the markets for personal insurance, decision-making practice has notably distinguished:  </w:t>
        <w:br/>
        <w:t xml:space="preserve">- supplementary health insurance products, which aim to complement the benefits offered by mandatory health insurance schemes;  </w:t>
        <w:br/>
        <w:t xml:space="preserve">- provident products, which include insurance products intended to cover beneficiaries against an unpredictable loss of income;  </w:t>
        <w:br/>
        <w:t xml:space="preserve">- and additional retirement and collective retirement savings products, which are forms of insurance in the event of life.  </w:t>
        <w:br/>
        <w:t xml:space="preserve">9. Decision-making practice has considered that an additional segmentation can be made between collective insurance contracts, concluded between an insurer and a subscriber distinct from the beneficiary, and individual insurance contracts where the subscriber is also the beneficiary.  </w:t>
        <w:br/>
        <w:t xml:space="preserve">10. Furthermore, a distinction may be considered between collective provident products and statutory insurance products. These products allow public authorities (local authorities and hospitals in particular) to cover themselves against the budgetary risk related to the work stoppages of their agents due to illness, maternity, service accidents, or the death of their agents, which the authorities are obliged to cover by law. The notifying party argues that statutory insurance products are similar to collective provident products in that they aim to cover a risk of unpredictable loss of income and that they indirectly benefit the agents. It adds, from the perspective of the substitutability of the offer, that there is no insurance company specialized in this area. However, these products have a certain specificity compared to other collective provident products since they aim to cover a risk incurred by the authorities themselves, and not by their agents, and their development is relatively recent.  </w:t>
        <w:br/>
        <w:t>11. The exact definition of each of the markets examined in this decision can, however, be left open, as the conclusions of the competitive analysis will remain unchanged regardless of the segmentations retained.</w:t>
      </w:r>
    </w:p>
    <w:p>
      <w:r>
        <w:rPr>
          <w:b/>
        </w:rPr>
        <w:t>[Pages 4–6]</w:t>
      </w:r>
    </w:p>
    <w:p>
      <w:r>
        <w:t>12. Regarding the geographical delimitation of markets, with the exception of certain insurances covering large-scale risks, the decisional practice8 has considered that the markets for personal insurance products are of national dimension given consumer preferences, the current structure of these markets, the existence of legislation, sectoral regulatory systems, and national tax constraints.</w:t>
      </w:r>
    </w:p>
    <w:p>
      <w:r>
        <w:t>13. There is no need to challenge these delimitations on the occasion of the present operation.</w:t>
      </w:r>
    </w:p>
    <w:p>
      <w:r>
        <w:t>b) The markets for property insurance products</w:t>
      </w:r>
    </w:p>
    <w:p>
      <w:r>
        <w:t>14. Concerning the markets for property insurance, the decisional practice9 has considered that a segmentation could be made into as many markets as there are insurances covering different types of risks and that an additional segmentation could be made between insurances intended for individuals and insurances intended for professionals.</w:t>
      </w:r>
    </w:p>
    <w:p>
      <w:r>
        <w:t>15. Regarding their geographical delimitations, the markets for property insurance distribution have been considered essentially as being of national dimension.</w:t>
      </w:r>
    </w:p>
    <w:p>
      <w:r>
        <w:t>2. THE "DOWNSTREAM" MARKETS FOR THE DISTRIBUTION OF INSURANCE PRODUCTS ON BEHALF OF THIRD PARTIES</w:t>
      </w:r>
    </w:p>
    <w:p>
      <w:r>
        <w:t>16. The distribution of insurance products consists of marketing and ensuring the administrative management of guarantees or insurance contracts whose risk is borne by third-party insurers11. Competition authorities, both European and national, have left the question of the precise delimitation of markets in this sector open, with several segmentations being considered12.</w:t>
      </w:r>
    </w:p>
    <w:p>
      <w:r>
        <w:t>17. A market limited to insurance brokerage has been contemplated in certain decisions of the European Commission13. More recently, a broad market for the distribution of insurance products by independent intermediaries, including all distribution channels (agents, brokers, and other intermediaries such as banks), except for direct distribution by insurance companies, has been identified by European and national decisional practice14.</w:t>
      </w:r>
    </w:p>
    <w:p>
      <w:r>
        <w:t>8 See notably the decision of the Competition Authority n°10-DCC-52 cited above.</w:t>
      </w:r>
    </w:p>
    <w:p>
      <w:r>
        <w:t>9 See notably the decisions of the Competition Authority n°11-DCC-97 of June 29, 2011, regarding the affiliation of the provident institution Apgis to the mutual insurance group Covéa, and n°10-DCC-52 cited above.</w:t>
      </w:r>
    </w:p>
    <w:p>
      <w:r>
        <w:t>10 See notably the decision of the Competition Authority n°10-DCC-52 cited above.</w:t>
      </w:r>
    </w:p>
    <w:p>
      <w:r>
        <w:t>11 See notably the letter from the Minister of Economy C2008-77 of October 28, 2008, to the boards of the company Mutuelle Harmonie Mutualité and the decision of the Competition Authority n°10-DCC-138 of October 19, 2010, regarding the exclusive control of MFPrévoyance by CNP assurances.</w:t>
      </w:r>
    </w:p>
    <w:p>
      <w:r>
        <w:t>12 See notably the letter from the Minister C2008-77 cited above and the decision of the Authority n°10-DCC-138 cited above.</w:t>
      </w:r>
    </w:p>
    <w:p>
      <w:r>
        <w:t>13 Decision of the European Commission n° COMP/M. 1280, KKR/Willis Corroon of August 24, 1998. Decision of the European Commission n° COMP/M. 1307 Marsh &amp; McLennan / Sedgwick of October 23, 1998.</w:t>
      </w:r>
    </w:p>
    <w:p>
      <w:r>
        <w:t>14 See for example the decisions of the Authority n° 11-DCC-117, 12-DCC-111 and 12-DCC-111; the decisions of the European Commission COMP/M.6053 – CVC/ APOLLO/BRIT INSURANCE of January 19, 2011, and COMP/M.4284 - AXA/WINTERTHUR of August 28, 2006.</w:t>
      </w:r>
    </w:p>
    <w:p>
      <w:r>
        <w:t>18. The markets for the distribution of insurance products can also be segmented based on the category of insured risks (property insurance and personal insurance) and according to the clientele (businesses or individuals).</w:t>
      </w:r>
    </w:p>
    <w:p>
      <w:r>
        <w:t>19. Regarding their geographical delimitations, the markets for the distribution of insurance products have been considered essentially as being of national dimension.</w:t>
      </w:r>
    </w:p>
    <w:p>
      <w:r>
        <w:t>20. The question of the exact delimitation of the markets for the distribution of insurance products may be left open insofar as, regardless of the delimitation retained, the conclusions of the competitive analysis remain unchanged.</w:t>
      </w:r>
    </w:p>
    <w:p>
      <w:r>
        <w:t>21. In this case, only the Sofaxis group is present in the market for the distribution on behalf of third parties of insurance products, and more specifically in the markets for the distribution of personal insurance and in the market for the distribution of property insurance intended for professionals.</w:t>
      </w:r>
    </w:p>
    <w:p>
      <w:r>
        <w:t>B. THE MARKET FOR MANAGEMENT CONSULTING SERVICES</w:t>
      </w:r>
    </w:p>
    <w:p>
      <w:r>
        <w:t>22. The decisional practice15 has considered that ancillary services to risk coverage (notably the identification, assessment, and independent management advice on these risks, market monitoring, assistance in case of difficulties with the insurance company) provided by insurance companies or brokers to their clients, are distinct from the insurance services themselves, notably because these ancillary services are compensated in the form of fees and not contributions.</w:t>
      </w:r>
    </w:p>
    <w:p>
      <w:r>
        <w:t>23. The parties consider that ancillary services to risk coverage, provided by insurance companies or brokers do not constitute a distinct market, and are part of the broader market for management consulting, defined by decisional practice16 as including strategy consulting, operational consulting, or consulting and integration of information systems and outsourcing. The decisional practice17 has noted the existence of some competition between brokers and other professionals, such as audit firms, for the provision of ancillary services to risk coverage.</w:t>
      </w:r>
    </w:p>
    <w:p>
      <w:r>
        <w:t>24. In this case, the Sham and Sofaxis groups are simultaneously present in the market for management consulting services.</w:t>
      </w:r>
    </w:p>
    <w:p>
      <w:r>
        <w:t>25. The decisional practice has left the question of the geographical delimitation of the market for management consulting services open. The parties consider that this market is at least of national dimension.</w:t>
      </w:r>
    </w:p>
    <w:p>
      <w:r>
        <w:t>26. In this case, the question of the exact delimitation of the market for management consulting services may be left open insofar as, regardless of the delimitation retained, the conclusions of the competitive analysis remain unchanged.</w:t>
      </w:r>
    </w:p>
    <w:p>
      <w:r>
        <w:t>15 See notably the decision of the European Commission n°IV/M.1307, Marsh et McLennan / Sedgwick of October 23, 1998, and the letter n°C2007-07 from the Minister of Economy, Finance and Industry of April 3, 2007, to the board of the SIACI group, regarding a concentration in the insurance brokerage sector.</w:t>
      </w:r>
    </w:p>
    <w:p>
      <w:r>
        <w:t>16 See the letter n°C2006-91 from the Minister of Economy, Finance and Industry of December 15, 2006, to the board of the company Deloitte, regarding a concentration in the sectors of auditing, accounting expertise, and consulting.</w:t>
      </w:r>
    </w:p>
    <w:p>
      <w:r>
        <w:t>17 See the decision of the European Commission n°IV/M.1307 cited above.</w:t>
      </w:r>
    </w:p>
    <w:p>
      <w:r>
        <w:t>III. Competitive Analysis</w:t>
      </w:r>
    </w:p>
    <w:p>
      <w:r>
        <w:t>A. ANALYSIS OF HORIZONTAL EFFECTS</w:t>
      </w:r>
    </w:p>
    <w:p>
      <w:r>
        <w:t>27. Sham and Sofaxis are only simultaneously active in the market for management consulting services as they provide ancillary services to risk coverage.</w:t>
      </w:r>
    </w:p>
    <w:p>
      <w:r>
        <w:t>28. In 2012, this activity represented only [0-5]% of Sham's turnover and [5-10]% of Sofaxis's turnover. Thus, the parties hold a market share well below [0-5]% in the market for management consulting services. In the segment of ancillary services to risk coverage, the parties hold a market share of [0-5]% and face competition from numerous competitors, such as insurance companies or brokers.</w:t>
      </w:r>
    </w:p>
    <w:p>
      <w:r>
        <w:t>29. In light of these elements, the operation is not likely to harm competition in the market for management consulting services through horizontal effects.</w:t>
      </w:r>
    </w:p>
    <w:p>
      <w:r>
        <w:t>B. ANALYSIS OF VERTICAL EFFECTS</w:t>
      </w:r>
    </w:p>
    <w:p>
      <w:r>
        <w:t>30.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31. In this case, the Sham group is present in the "upstream" markets for the production of personal or property insurance products, and the Sofaxis group is active in the "downstream" markets for the distribution of such services on behalf of third parties. It is therefore necessary to analyze the vertical effects induced by the operation in these markets.</w:t>
      </w:r>
    </w:p>
    <w:p>
      <w:r>
        <w:t>32. The decisional practice of competition authorities generally dismisses lock-in risks when the market share of the company resulting from the operation in the relevant markets does not exceed 30%.</w:t>
      </w:r>
    </w:p>
    <w:p>
      <w:r>
        <w:t>33. However, in this case, the Sham group holds a market share of less than [5-10]% in each of the "upstream" markets in which it is present. Indeed, with the exception of the market for professional liability insurance, where its market share reaches [5-10]%, and the segment for the provision of statutory insurance products, where its market share is [0-5]%, the Sham group holds a market share of less than [0-5]% in all other "upstream" markets where it is present. Several large groups such as Allianz, ACE, Axa, Generali, Groupama, and MMA are present in the property insurance market for professional liability. In the statutory insurance segment, it faces competition from CNP, Allianz, Axa, Generali, Groupama, and Pro BTP. In light of these elements, the Sham group is not in a position to harm competition in the markets for the distribution of insurance products on behalf of third parties by refusing to allow its insurance products to be marketed by Sofaxis's competitors.</w:t>
      </w:r>
    </w:p>
    <w:p>
      <w:r>
        <w:rPr>
          <w:b/>
        </w:rPr>
        <w:t>[Pages 7–7]</w:t>
      </w:r>
    </w:p>
    <w:p>
      <w:r>
        <w:t>34. Furthermore, Sofaxis holds a market share of [0-5]% in the market for third-party distribution of property insurance aimed at professionals and a market share of less than [0-5]% in the markets for third-party distribution of personal insurance, with the exception of the statutory insurance segment. In this segment, Sofaxis distributes [50-60]% of the products currently available on the market. However, the majority of its revenue in this segment ([…]%) is generated from CNP products [confidential]. For its part, Sham already markets [confidential] its provident and statutory insurance products through Sofaxis prior to the operation, but in terms of statutory insurance, these represent only […]% of Sofaxis's revenue. The operation is therefore not likely to encourage Sham to reserve Sofaxis's services and deprive its competitors of the outlet represented by this broker. In any case, given Sofaxis's very low market share in the market for third-party insurance distribution, insurance companies could easily have their products distributed through other brokers.</w:t>
      </w:r>
    </w:p>
    <w:p>
      <w:r>
        <w:t>35. In light of the aforementioned elements, the parties will therefore not be able to implement a locking strategy through inputs or a customer access locking strategy following the operation.</w:t>
      </w:r>
    </w:p>
    <w:p>
      <w:r>
        <w:t>36. Consequently, the operation is not likely to harm competition in the insurance sector through vertical effects.</w:t>
      </w:r>
    </w:p>
    <w:p>
      <w:r>
        <w:t>DECIDES</w:t>
      </w:r>
    </w:p>
    <w:p>
      <w:r>
        <w:t>Sole Article: The operation notified under number 13-114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