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https://www.autoritedelaconcurrence.fr/fr/decision-de-controle-des-concentrations/relative-la-prise-de-controle-de-la-societe-vaco-par-la</w:t>
      </w:r>
    </w:p>
    <w:p>
      <w:r>
        <w:t>Pages translated : 5</w:t>
      </w:r>
    </w:p>
    <w:p/>
    <w:p>
      <w:r>
        <w:rPr>
          <w:b/>
        </w:rPr>
        <w:t>[Pages 1–3]</w:t>
      </w:r>
    </w:p>
    <w:p>
      <w:r>
        <w:t xml:space="preserve">FRENCH REPUBLIC  </w:t>
        <w:br/>
        <w:t xml:space="preserve">Decision No. 10-DCC-180 of December 6, 2010  </w:t>
        <w:br/>
        <w:t>regarding the acquisition of control of the company Vaco by the company JPMB Investissement and the ITM Enterprises group</w:t>
      </w:r>
    </w:p>
    <w:p>
      <w:r>
        <w:t xml:space="preserve">The Competition Authority,  </w:t>
        <w:br/>
        <w:t xml:space="preserve">Having regard to the notification file sent to the concentrations service on October 28, 2010, and declared complete on November 26, 2010, regarding the acquisition of control of the company Vaco by the company JPMB Investissement and the ITM Enterprises group;  </w:t>
        <w:br/>
        <w:t xml:space="preserve">Having regard to Book IV of the Commercial Code relating to price and competition freedom, and in particular its Articles L. 430-1 to L. 430-7;  </w:t>
        <w:br/>
        <w:t>Adopts the following decision:</w:t>
      </w:r>
    </w:p>
    <w:p>
      <w:r>
        <w:t xml:space="preserve">I. The companies concerned and the operation  </w:t>
        <w:br/>
        <w:t xml:space="preserve">1. The company ITM Enterprises, 100% controlled by the civil company of the Mousquetaires, itself owned by 1,330 individuals known as "associated members," leads and animates the network of independent merchants known as the "Groupement des Mousquetaires." As a franchisor, ITM Enterprises' main activity is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outlets. ITM Enterprises also provides its franchisees with various services such as prospecting, consulting, training, etc. Finally, ITM Enterprises offers franchisees the opportunity to benefit from advantageous supply conditions with its national and regional subsidiaries as well as with external suppliers referenced outside the "Groupement des Mousquetaires."  </w:t>
        <w:br/>
        <w:t xml:space="preserve">2. The company ITM Alimentaire Centre Est is a French company held at [&gt;50]% by the company ITM Alimentaire France, which is itself held by the company ITM Enterprises. ITM Enterprises has entrusted ITM Alimentaire Centre Est with the management and development of the franchisee network operating under the Intermarché, Ecomarché, and Netto brands in the central-eastern region of France.  </w:t>
        <w:br/>
        <w:t xml:space="preserve">3. The company Vaco is a simplified joint-stock company under French law whose purpose is the operation of a retail outlet under the Intermarché brand in Passins (38). The share capital of the company Vaco is held at [&gt;50]% in full ownership and at [&lt;50]% in usufruct by the company Vincel – itself owned by Mr. and Mrs. X – with ITM Alimentaire Centre Est holding [&lt;50]% of the capital in bare ownership and ITM Enterprises holding one preferred share. It follows from this distribution and the provisions of the statutes that the ITM group exercises control over Vaco, jointly with the X spouses. The company Vaco signed a brand contract on April 7, 2009, with ITM Enterprises for a duration of 25 years.  </w:t>
        <w:br/>
        <w:t xml:space="preserve">4. The company JPMB Investissements is a holding company – owned by Mr. Y – which holds the company VVPC, which operates a retail outlet under the Netto brand located in Vonnas (01), as well as the company SGV, which operates a fuel distribution business also located in Vonnas.  </w:t>
        <w:br/>
        <w:t xml:space="preserve">5. Under the share purchase agreement dated October 4, 2010, the company JPMB Investissements has committed to acquire [&lt;50]% of the shares of the company Vaco in full ownership and [&lt;50]% in usufruct. The company ITM Alimentaire Centre Est retains the bare ownership of [&lt;50]% of the capital and ITM Enterprises retains its preferred share.  </w:t>
        <w:br/>
        <w:t xml:space="preserve">6. The notified operation is analyzed as the acquisition of control by the company JPMB Investissements over the company Vaco, jointly with the ITM Enterprises group. It constitutes a concentration operation under Article L. 430-1 of the Commercial Code.  </w:t>
        <w:br/>
        <w:t>7. The companies concerned operate one or more retail stores and together achieve a total worldwide turnover of more than 75 million euros (Vaco: […] million euros for the fiscal year ending December 31, 2009; ITM Enterprises group: […] billion euros for the same year; JPMB Investissements: […] million euros). Two of the companies concerned achieve a turnover in France exceeding 15 million euros in the retail sector (Vaco: […] million euros for the fiscal year ending December 31, 2009; ITM Enterprises group: […] billion euros). Given these turnover figures, the operation does not have a community dimension. However, the control thresholds related to retail mentioned in point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8. According to the consistent practice of national and community competition authorities, two categories of markets can be delineated in the retail sector predominantly food-related. These include, on the one hand, the "downstream" markets, of local dimension, which bring together retail businesses and consumers for the sale of consumer goods and, on the other hand, the "upstream" markets for the supply of retail businesses with everyday consumer goods, of national dimension.</w:t>
      </w:r>
    </w:p>
    <w:p>
      <w:r>
        <w:t xml:space="preserve">A. DOWNSTREAM DISTRIBUTION MARKETS  </w:t>
        <w:br/>
        <w:t xml:space="preserve">1. SERVICE MARKETS  </w:t>
        <w:br/>
        <w:t xml:space="preserve">9. Regarding the retail sale of everyday consumer goods, competition authorities, both at the community and national levels, have distinguished six categories of commerce using several criteria, notably the size of the stores, their sales techniques, their accessibility, the nature of the service provided, and the breadth of the product ranges offered: (i) hypermarkets, (ii) supermarkets, (iii) specialized trade, (iv) small retail trade, (v) maxi-discounters, (vi) mail order.  </w:t>
        <w:br/>
        <w:t xml:space="preserve">10. Hypermarkets are usually defined as stores with a predominant food focus with a sales area equal to or greater than 2,500 m², and supermarkets as stores with a predominant food focus with a sales area less than 2,500 m² and greater than 400 m². However, it should be noted that these thresholds should be used with caution and may be adapted to the specific case, considering that stores whose area is near a threshold, either below or above, may be in direct competition with the facts.  </w:t>
        <w:br/>
        <w:t>11. In this case, the acquired store currently occupies a sales area of 2,499 m². It therefore falls into the category of hypermarkets.</w:t>
      </w:r>
    </w:p>
    <w:p>
      <w:r>
        <w:t xml:space="preserve">2. GEOGRAPHICAL DELIMITATION  </w:t>
        <w:br/>
        <w:t xml:space="preserve">12. In its recent decisions regarding operations concerning hypermarkets or supermarkets, the Competition Authority has recalled that two types of markets are usually distinguished based on catchment areas:  </w:t>
        <w:br/>
        <w:t xml:space="preserve">- a first market where the demand from consumers in an area meets the supply of hypermarkets that they can access within less than 30 minutes of travel by car and which are, from their point of view, substitutable for each other;  </w:t>
        <w:br/>
        <w:t>- a second market where the demand from consumers meets the supply of supermarkets and equivalent forms of commerce located within less than 15 minutes of travel by car. These latter forms of commerce may include, in addition to supermarkets, hypermarkets located near consumers and discount stores.</w:t>
      </w:r>
    </w:p>
    <w:p>
      <w:r>
        <w:rPr>
          <w:b/>
        </w:rPr>
        <w:t>[Pages 4–5]</w:t>
      </w:r>
    </w:p>
    <w:p>
      <w:r>
        <w:t xml:space="preserve">13. Other criteria may nevertheless be taken into account to assess the impact of a concentration on the competitive situation in retail distribution markets, which may lead to refining, in the specific case, the usual delineations presented above.  </w:t>
        <w:br/>
        <w:t xml:space="preserve">14. In the specific case, the store involved in the operation is a hypermarket since its area is 2,499 m². The competitive analysis will therefore focus on the two markets, one including hypermarkets located within a 30-minute radius around Passins (38) and the other including all supermarkets and maxi-discounters located within a 15-minute catchment area around the same town.  </w:t>
        <w:br/>
        <w:t xml:space="preserve">3. UPSTREAM SUPPLY MARKET  </w:t>
        <w:br/>
        <w:t xml:space="preserve">15. Regarding the supply markets, the European Commission has recognized the existence of national dimension markets by major product groups, a delineation followed by national authorities.  </w:t>
        <w:br/>
        <w:t xml:space="preserve">16. There is no reason to challenge this delineation in the context of the present operation.  </w:t>
        <w:br/>
        <w:t xml:space="preserve">III. Competitive Analysis  </w:t>
        <w:br/>
        <w:t xml:space="preserve">A. DOWNSTREAM DISTRIBUTION MARKET  </w:t>
        <w:br/>
        <w:t xml:space="preserve">17. In the market including hypermarkets located within a 30-minute driving radius around Passins, the hypermarket operated by the company Vaco currently represents 8.19% of the sales area. Given the presence in the same area of a hypermarket operated under the Intermarché brand, the points of sale under the ITM Entreprises brand will total 18% of the sales area following the operation. They will face competition from hypermarkets present in the same catchment area under the Carrefour (53% of the sales area) and Leclerc (28% of the sales area) brands.  </w:t>
        <w:br/>
        <w:t xml:space="preserve">18. In the market including hypermarkets, supermarkets, and other equivalent forms of commerce located within a 15-minute driving radius around Passins, the hypermarket operated by the company Vaco represents 46.3% of the sales area. Furthermore, there is a Netto point of sale in the area representing 16% of the sales area. However, the substitution of JPMB Investissements for the current majority shareholders of Vaco will not change the position of the Intermarché brands in the catchment area, as the number of Intermarché points of sale will remain the same following the operation. Additionally, there are supermarkets and stores operated under the Casino (22% of the sales area) and ED (16%) brands in the area.  </w:t>
        <w:br/>
        <w:t xml:space="preserve">19. Therefore, the operation is not likely to harm competition in the markets concerned.  </w:t>
        <w:br/>
        <w:t xml:space="preserve">5 See the Commission decisions M.1684 Carrefour/Promodès of January 25, 2000, and M.2115 Carrefour/GB of September 28, 2000.  </w:t>
        <w:br/>
        <w:t xml:space="preserve">6 See in particular the decisions of the minister in the sector, C.2005-98 Carrefour/Penny Market of November 10, 2005, C.2006-15 Carrefour/Groupe Hamon of April 14, 2006, C.2007-172 regarding the creation of the joint venture Plamidis of February 13, 2008, and C.2008-32 Carrefour/SAGC of July 9, 2008.  </w:t>
        <w:br/>
        <w:t>4</w:t>
      </w:r>
    </w:p>
    <w:p>
      <w:r>
        <w:t xml:space="preserve">B. UPSTREAM SUPPLY MARKET  </w:t>
        <w:br/>
        <w:t xml:space="preserve">20. Regarding the upstream supply markets, the operation, which concerns only one store, is not likely to significantly strengthen the purchasing power of the ITM Entreprises group, across all products as well as by major product groups.  </w:t>
        <w:br/>
        <w:t xml:space="preserve">21. Therefore, the operation is not likely to harm competition both in the downstream market and in the upstream market of distribution.  </w:t>
        <w:br/>
        <w:t xml:space="preserve">DECIDES  </w:t>
        <w:br/>
        <w:t xml:space="preserve">Single Article: The operation notified under number 10-0189 is authorized.  </w:t>
        <w:br/>
        <w:t xml:space="preserve">The President,  </w:t>
        <w:br/>
        <w:t xml:space="preserve">Bruno Lasserre  </w:t>
        <w:br/>
        <w:t xml:space="preserve">Competition Authority  </w:t>
        <w:b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