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https://www.autoritedelaconcurrence.fr/fr/decision-de-controle-des-concentrations/relative-la-prise-de-controle-de-la-societe-vical-par-la</w:t>
      </w:r>
    </w:p>
    <w:p>
      <w:r>
        <w:t>Pages translated : 5</w:t>
      </w:r>
    </w:p>
    <w:p/>
    <w:p>
      <w:r>
        <w:rPr>
          <w:b/>
        </w:rPr>
        <w:t>[Pages 1–3]</w:t>
      </w:r>
    </w:p>
    <w:p>
      <w:r>
        <w:t xml:space="preserve">FRENCH REPUBLIC  </w:t>
        <w:br/>
        <w:t xml:space="preserve">Decision No. 10-DCC-134 of October 13, 2010  </w:t>
        <w:br/>
        <w:t>regarding the acquisition of control of the company Vical by the company ITM Alimentaire Sud-Ouest</w:t>
      </w:r>
    </w:p>
    <w:p>
      <w:r>
        <w:t xml:space="preserve">The Competition Authority,  </w:t>
        <w:br/>
        <w:t xml:space="preserve">Having regard to the notification file sent to the merger service on September 9, 2010, and declared complete on the same date, concerning the acquisition of control of the company Vical by the company ITM Alimentaire Sud-Ouest;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1. The company ITM Entreprises, 100% controlled by the Société civile des Mousquetaires, itself held by 1,330 individuals known as "associated members," leads and animates the network of independent merchants known as the "Groupement des Mousquetaires." As a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r>
    </w:p>
    <w:p>
      <w:r>
        <w:t>2. The company ITM Alimentaire Sud-Ouest is a company under French law held at [&gt;50]% by the company ITM Alimentaire France, which is itself held by the company ITM Entreprises. The company ITM Entreprises has entrusted the company ITM Alimentaire Sud-Ouest with the management and development of the network of franchisees operating under the brands Intermarché, Ecomarché, and Netto in the southwestern region of France.</w:t>
      </w:r>
    </w:p>
    <w:p>
      <w:r>
        <w:t>3. The company Vical is a simplified joint-stock company under French law that operates a predominantly food retail outlet, of the hypermarket type, under the "Intermarché" brand located in Bidart (64). The share capital of the company Vical is held by the company Mizarbel, the company ITM Alimentaire Sud-Ouest, Mr. and Mrs. X, with ITM Entreprises holding a preferred share granting it joint control. Mr. and Mrs. X signed the membership charter binding them to the company ITM Entreprises on January 31, 2006. The company Vical signed a brand contract on the same date.</w:t>
      </w:r>
    </w:p>
    <w:p>
      <w:r>
        <w:t>4. According to the share transfer protocol under suspensive conditions signed by the parties on July 27, 2010, the company ITM Alimentaire Sud-Ouest committed to acquiring [&gt;50]% of the shares of the company Vical. Consequently, following the operation, it will be exclusively controlled by the ITM Entreprises group. This change of control constitutes a concentration within the meaning of Article L. 430-1 of the Commercial Code.</w:t>
      </w:r>
    </w:p>
    <w:p>
      <w:r>
        <w:t>5. The companies concerned operate one or more retail stores and together achieve a total worldwide turnover of more than 75 million euros (ITM Entreprises group: […] billion euros for the fiscal year ending December 31, 2009; the company Vical: […] million euros for the same year). Each achieves in France in the retail sector a turnover exceeding 15 million euros (ITM Entreprises group: […] billion euros for the fiscal year ending December 31, 2009; the company Vical*: […] million euros for the same year).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6. According to the consistent practice of national and community competition authorities, two categories of markets can be delineated in the food retail sector. These are, on the one hand, "downstream" markets, of local dimension, which bring together retail companies and consumers for the sale of consumer goods, and, on the other hand, "upstream" markets for supplying retail companies with everyday consumer goods, of national dimension.  </w:t>
        <w:br/>
        <w:t xml:space="preserve">1 See in particular the decisions of the Commission M.496 Intermarché/Spar of June 30, 1997, M.991 Promodès/Casino of October 30, 1997, and M.1684 Carrefour/Promodès of January 25, 2000. See also the ministerial decree of July 5, 2000 in the Carrefour/Promodès operation and the opinions of the Competition Authority No. 97-A-14 of July 1, 1997, in the Carrefour/Coran case No. 98-A-06 of May 5, 1998, in the Casino Franprix/Leader Price case, and No. 00-A-06 of May 3, 2000, in the Carrefour/Promodès case.  </w:t>
        <w:br/>
        <w:t xml:space="preserve">2 Decisions of the Commission in the cases M.1221 Rewe/Meinl of February 3, 1999, M.1684 Carrefour/Promodès of January 25, 2000, and M.2115 Carrefour/GB of September 28, 2000. See also the decision C.2005-98 Carrefour/Penny Market of November 10, 2005.  </w:t>
        <w:br/>
        <w:t>* Typographical error corrected.</w:t>
      </w:r>
    </w:p>
    <w:p>
      <w:r>
        <w:t xml:space="preserve">A. DOWNSTREAM DISTRIBUTION MARKETS  </w:t>
        <w:br/>
        <w:t xml:space="preserve">1. SERVICE MARKETS  </w:t>
        <w:br/>
        <w:t>7. Regarding the retail sale of everyday consumer goods, competition authorities, both at the community and national levels,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w:t>
      </w:r>
    </w:p>
    <w:p>
      <w:r>
        <w:t>8. Supermarkets are usually defined as predominantly food stores with a sales area of less than 2,500 m² and more than 400 m². It should be noted, however, that these thresholds must be used with caution and may be adapted to the specific case, given that stores whose area is near a threshold, either below or above, may find themselves in direct competition with the facts.</w:t>
      </w:r>
    </w:p>
    <w:p>
      <w:r>
        <w:t>9. In this case, the acquired store currently occupies a sales area of 3,000 m². It therefore falls into the category of hypermarkets.</w:t>
      </w:r>
    </w:p>
    <w:p>
      <w:r>
        <w:t xml:space="preserve">2. GEOGRAPHICAL DELIMITATION  </w:t>
        <w:br/>
        <w:t xml:space="preserve">10. In its recent decisions regarding operations involving hypermarkets or supermarkets, the Competition Authority has recalled that depending on the size of the stores concerned, the conditions of competition should be assessed over two different areas:  </w:t>
        <w:br/>
        <w:t xml:space="preserve">- a first market where the demand from consumers in an area meets the supply of hypermarkets that they can access within less than 30 minutes of travel by car and which are, from their point of view, substitutable for each other;  </w:t>
        <w:br/>
        <w:t>- a second market where the demand from consumers meets the supply of supermarkets and equivalent forms of commerce located within less than 15 minutes of travel time by car. These latter forms of commerce may include, in addition to supermarkets, hypermarkets located near consumers and discount stores.</w:t>
      </w:r>
    </w:p>
    <w:p>
      <w:r>
        <w:t>11. Other criteria may nevertheless be taken into account to assess the impact of a concentration on the competitive situation in retail distribution markets, which may lead to refining, in the specific case, the usual delimitations presented above.</w:t>
      </w:r>
    </w:p>
    <w:p>
      <w:r>
        <w:t xml:space="preserve">12. In this case, the store concerned by the operation is a supermarket since its area is 3,000 m². The competitive analysis will therefore focus on the two markets, one including hypermarkets located within a 30-minute radius around Bidart (64) and the other including all supermarkets and discount stores located within a catchment area of 15 minutes around the same city.  </w:t>
        <w:br/>
        <w:t xml:space="preserve">3 Decisions C.2008-32 Amidis SAGC of July 9, 2008, C.2007-172 Carrefour Plane Plamidis of February 13, 2008, C.2007-154 Système U Vergali of December 3, 2007, C.2007-05 Carrefour Sofadi of March 26, 2007, C.2006-15 Amidis Hamon of April 14, 2006, C.2005-98 Carrefour Penny Market of November 10, 2005;  </w:t>
        <w:br/>
        <w:t>4 See in particular decisions 09-DCC-24 of July 23, 2009 Floritine/CSF; 09-DCC-10 of May 28, 2009 Frandis/Financière Perdis; 09-DCC-06 of May 20, 2009 Evolis/ITM; 09-DCC-04 of April 29, 2009 Carrefour/Noukat.</w:t>
      </w:r>
    </w:p>
    <w:p>
      <w:r>
        <w:rPr>
          <w:b/>
        </w:rPr>
        <w:t>[Pages 4–5]</w:t>
      </w:r>
    </w:p>
    <w:p>
      <w:r>
        <w:t xml:space="preserve">3. UPSTREAM SUPPLY MARKET  </w:t>
        <w:br/>
        <w:t xml:space="preserve">13. Regarding the supply markets, the European Commission has identified the existence of markets of national dimension by major product groups, a delineation followed by national authorities.  </w:t>
        <w:br/>
        <w:t xml:space="preserve">14. There is no reason to challenge this delineation on the occasion of the present operation.  </w:t>
        <w:br/>
        <w:t xml:space="preserve">III. Competitive Analysis  </w:t>
        <w:br/>
        <w:t xml:space="preserve">A. DOWNSTREAM DISTRIBUTION MARKET  </w:t>
        <w:br/>
        <w:t xml:space="preserve">15. In the market comprising hypermarkets located within a 30-minute driving area around Bidart, the hypermarket operated by the ITM Entreprises group currently represents 5.5% of the sales area. Two authorizations for the creation of sales areas have been obtained by competing brands, which will increase the market share of the target to 5.2%. Besides the store in question, no other hypermarket operated under a brand belonging to the ITM Entreprises group is present in a 30-minute driving area around Bidart.  </w:t>
        <w:br/>
        <w:t xml:space="preserve">16. This store faces competition from eight other hypermarkets, three of which are under the Carrefour brand (41% of the sales area) and four under the Leclerc brand (33% of the sales area).  </w:t>
        <w:br/>
        <w:t xml:space="preserve">17. In the market comprising hypermarkets, supermarkets, and other equivalent forms of commerce located within a 15-minute driving area around Bidart, the hypermarket operated by the company Vical will represent, with the planned openings, 5.4% of the sales area. Given the presence in the same area of a discount store Netto, the points of sale under the ITM Entreprises brand will total 7% of the sales area. Also present in this area are the brands Carrefour (41% of the sales area), Casino (28%), Leclerc (19%), and Lidl (5%).  </w:t>
        <w:br/>
        <w:t xml:space="preserve">18. Consequently, the operation is not likely to harm competition in the relevant markets.  </w:t>
        <w:br/>
        <w:t xml:space="preserve">B. UPSTREAM SUPPLY MARKET  </w:t>
        <w:br/>
        <w:t xml:space="preserve">19. Regarding the upstream supply markets, the operation, which concerns only one store, is not likely to significantly strengthen the purchasing power of the ITM Entreprises group, across all products as well as by major product groups.  </w:t>
        <w:br/>
        <w:t xml:space="preserve">20. Consequently, the operation is not likely to harm competition both in the downstream market and in the upstream supply market.  </w:t>
        <w:br/>
        <w:t xml:space="preserve">DECIDES  </w:t>
        <w:br/>
        <w:t xml:space="preserve">Sole Article: The operation notified under number 10-0145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