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https://www.autoritedelaconcurrence.fr/fr/decision-de-controle-des-concentrations/relative-la-prise-de-controle-de-societe-financiere-bourgin</w:t>
      </w:r>
    </w:p>
    <w:p>
      <w:r>
        <w:t>Pages translated : 3</w:t>
      </w:r>
    </w:p>
    <w:p/>
    <w:p>
      <w:r>
        <w:rPr>
          <w:b/>
        </w:rPr>
        <w:t>[Pages 1–3]</w:t>
      </w:r>
    </w:p>
    <w:p>
      <w:r>
        <w:t xml:space="preserve">FRENCH REPUBLIC  </w:t>
        <w:br/>
        <w:t xml:space="preserve">Decision No. 10-DCC-196 of December 22, 2010  </w:t>
        <w:br/>
        <w:t xml:space="preserve">regarding the takeover of Société Financière Bourgin Frères by  </w:t>
        <w:br/>
        <w:t xml:space="preserve">the company By My Car Group  </w:t>
        <w:br/>
        <w:t xml:space="preserve">The Competition Authority,  </w:t>
        <w:br/>
        <w:t xml:space="preserve">Having regard to the notification file, submitted complete to the merger service on  </w:t>
        <w:br/>
        <w:t xml:space="preserve">November 29, 2010, regarding the exclusive control by the company By My Car Group of  </w:t>
        <w:br/>
        <w:t xml:space="preserve">Société Financière Bourgin Frères;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By My Car Group SAS, jointly owned by Messrs. Jean-Louis Mosca and  </w:t>
        <w:br/>
        <w:t xml:space="preserve">Jérôme Gerbier, controls, through three subsidiaries, seven companies active in automobile distribution in the departments of Savoie (73), Haute-Savoie (74), Isère (38),  </w:t>
        <w:br/>
        <w:t xml:space="preserve">Paris (75), Seine-Saint-Denis (93), and Val de Marne (94).  </w:t>
        <w:br/>
        <w:t xml:space="preserve">2. The Competition Authority authorized on November 23, 2010 a concentration consisting of  </w:t>
        <w:br/>
        <w:t xml:space="preserve">the contribution by Messrs. Jean Louis Mosca and Jérôme Gerbier, of all the shares  </w:t>
        <w:br/>
        <w:t xml:space="preserve">they hold personally in By My Car Group.  </w:t>
        <w:br/>
        <w:t xml:space="preserve">3. Société Financière Bourgin Frères SAS holds the following companies: SODISEP SA in Epinal  </w:t>
        <w:br/>
        <w:t xml:space="preserve">(88), Garage Cetral Bourgin Frères in Bar Le Duc (55), FRIOB SAS in Verdun (55), BSDA SA  </w:t>
        <w:br/>
        <w:t xml:space="preserve">in Saint Dizier (52). These four companies are automobile dealerships of the Renault brand  </w:t>
        <w:br/>
        <w:t xml:space="preserve">that engage in the sale of vehicles, the distribution of spare parts and automotive accessories, as well as in the sector of  </w:t>
        <w:br/>
        <w:t xml:space="preserve">maintenance and repair of vehicles. They also engage in the ancillary activity of short-term vehicle rental.  </w:t>
        <w:br/>
        <w:t xml:space="preserve">4. Société Financière Bourgin Frères was placed under ad hoc mandate by order of the  </w:t>
        <w:br/>
        <w:t xml:space="preserve">president of the commercial court of Dijon dated February 26, 2010. An offer for acquisition was sent on November 10, 2010, to Mr. Pierre Bayle, ad hoc representative, for the acquisition of 100% of Société Financière Bourgin Frères by the company By My Car Group.  </w:t>
        <w:br/>
        <w:t xml:space="preserve">5. As it results in the takeover of Société Financière Bourgin Frères by the company By My Car Group, the notified operation is a concentration operation within the meaning of Article L. 430-1 of the Commercial Code. The companies concerned operate one or more retail stores and together achieve a total worldwide turnover of more than 75 million euros (By My Car Group: 290 million euros, Bourgin Group: 99 million euros). Each generates in France in the retail sector a turnover exceeding 15 million euros. Given these turnover figures,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6. In the automobile distribution sector, the decision-making practice distinguishes (i) the distribution of new passenger cars intended for individual customers; (ii) the distribution of new passenger cars intended for professional customers; (iii) the distribution of commercial vehicles (notably light utility vehicles); (iv) the distribution of used cars; (v) the distribution of spare parts and automotive accessories; (vi) the distribution of maintenance and repair services for automobiles; (vii) the distribution of rental services.  </w:t>
        <w:br/>
        <w:t xml:space="preserve">7. There is no need to challenge these delimitations during the examination of the present operation.  </w:t>
        <w:br/>
        <w:t xml:space="preserve">8. The concerned companies are simultaneously present in each of these markets, except for the market for rental services.  </w:t>
        <w:br/>
        <w:t xml:space="preserve">B. GEOGRAPHICAL DELIMITATION OF MARKETS  </w:t>
        <w:br/>
        <w:t xml:space="preserve">9. Regarding the retail sale of new or used automobiles, spare parts and automotive accessories, maintenance and repair services for automobiles, the decision-making practice retains a local definition, with the analysis generally conducted at the departmental level.  </w:t>
        <w:br/>
        <w:t xml:space="preserve">III. Competitive analysis  </w:t>
        <w:br/>
        <w:t xml:space="preserve">10. In this case, the departments concerned by the operation are Meuse (55), Haute Marne (52), and Vosges (88). Currently, the By My Car group is not active in the targeted departments nor in the neighboring departments. The operation therefore does not result in any overlap of activities.  </w:t>
        <w:br/>
        <w:t xml:space="preserve">11. It follows from the preceding elements that the operation is not likely to harm competition in the relevant markets.  </w:t>
        <w:br/>
        <w:t xml:space="preserve">DECIDES  </w:t>
        <w:br/>
        <w:t xml:space="preserve">Single Article: The operation notified under number 10-0217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