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https://www.autoritedelaconcurrence.fr/fr/decision-de-controle-des-concentrations/relative-la-prise-de-controle-de-trois-concessions</w:t>
      </w:r>
    </w:p>
    <w:p>
      <w:r>
        <w:t>Pages translated : 2</w:t>
      </w:r>
    </w:p>
    <w:p/>
    <w:p>
      <w:r>
        <w:rPr>
          <w:b/>
        </w:rPr>
        <w:t>[Pages 1–2]</w:t>
      </w:r>
    </w:p>
    <w:p>
      <w:r>
        <w:t>FRENCH REPUBLIC</w:t>
        <w:br/>
        <w:t>Decision No. 24-DCC-05 of January 24, 2024</w:t>
        <w:br/>
        <w:t>regarding the acquisition of control of three car dealerships</w:t>
        <w:br/>
        <w:t>belonging to the Louis group by the Hess Automobile group</w:t>
        <w:br/>
        <w:t>The Competition Authority,</w:t>
      </w:r>
    </w:p>
    <w:p>
      <w:r>
        <w:t>Having regard to the complete notification file sent to the mergers department on January 8, 2024,</w:t>
        <w:br/>
        <w:t>concerning the acquisition of control of three car dealerships belonging to the Louis group,</w:t>
        <w:br/>
        <w:t>formalized by a letter of intent dated November 30, 2023;</w:t>
      </w:r>
    </w:p>
    <w:p>
      <w:r>
        <w:t>Having regard to Book IV of the Commercial Code relating to the freedom of prices and competition, and</w:t>
        <w:br/>
        <w:t>notably its Articles L. 430-1 to L. 430-7;</w:t>
      </w:r>
    </w:p>
    <w:p>
      <w:r>
        <w:t>Adopts the following decision:</w:t>
      </w:r>
    </w:p>
    <w:p>
      <w:r>
        <w:t>1. The notified operation consists of the exclusive acquisition of control of the companies Belleville Auto and Rive</w:t>
        <w:br/>
        <w:t>Droite Auto, operating three car dealerships located in Saint-Dizier (52), Bar-Le-Duc (55) and Belleville-sur-Meuse (55), by the Hess Automobile group, via the company Centrale Automobile Strasbourg.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23-340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